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4F91" w14:textId="6689FE82" w:rsidR="0088529E" w:rsidRDefault="0088529E" w:rsidP="00A365BB">
      <w:pPr>
        <w:spacing w:after="160" w:line="259" w:lineRule="auto"/>
        <w:jc w:val="center"/>
        <w:rPr>
          <w:rFonts w:ascii="Calibri" w:hAnsi="Calibri" w:cs="Calibri"/>
          <w:iCs/>
          <w:sz w:val="22"/>
          <w:szCs w:val="22"/>
          <w:lang w:eastAsia="en-AU"/>
        </w:rPr>
      </w:pPr>
      <w:r>
        <w:rPr>
          <w:noProof/>
        </w:rPr>
        <w:drawing>
          <wp:inline distT="0" distB="0" distL="0" distR="0" wp14:anchorId="03797535" wp14:editId="30AD3AE6">
            <wp:extent cx="3600450" cy="1860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860550"/>
                    </a:xfrm>
                    <a:prstGeom prst="rect">
                      <a:avLst/>
                    </a:prstGeom>
                    <a:noFill/>
                    <a:ln>
                      <a:noFill/>
                    </a:ln>
                  </pic:spPr>
                </pic:pic>
              </a:graphicData>
            </a:graphic>
          </wp:inline>
        </w:drawing>
      </w:r>
    </w:p>
    <w:p w14:paraId="2E48AD24" w14:textId="77777777" w:rsidR="0088529E" w:rsidRDefault="0088529E" w:rsidP="00A365BB">
      <w:pPr>
        <w:spacing w:after="160" w:line="259" w:lineRule="auto"/>
        <w:jc w:val="center"/>
        <w:rPr>
          <w:rFonts w:ascii="Calibri" w:hAnsi="Calibri" w:cs="Calibri"/>
          <w:iCs/>
          <w:sz w:val="22"/>
          <w:szCs w:val="22"/>
          <w:lang w:eastAsia="en-AU"/>
        </w:rPr>
      </w:pPr>
    </w:p>
    <w:p w14:paraId="799B33E2" w14:textId="56F5B9DC" w:rsidR="0088529E" w:rsidRDefault="0088529E" w:rsidP="00A365BB">
      <w:pPr>
        <w:spacing w:after="160" w:line="259" w:lineRule="auto"/>
        <w:jc w:val="center"/>
        <w:rPr>
          <w:rFonts w:ascii="Calibri" w:hAnsi="Calibri" w:cs="Calibri"/>
          <w:iCs/>
          <w:sz w:val="22"/>
          <w:szCs w:val="22"/>
          <w:lang w:eastAsia="en-AU"/>
        </w:rPr>
      </w:pPr>
    </w:p>
    <w:p w14:paraId="2BE817B2" w14:textId="01E1DB4A" w:rsidR="0088529E" w:rsidRDefault="0088529E" w:rsidP="00A365BB">
      <w:pPr>
        <w:spacing w:after="160" w:line="259" w:lineRule="auto"/>
        <w:jc w:val="center"/>
        <w:rPr>
          <w:rFonts w:ascii="Calibri" w:hAnsi="Calibri" w:cs="Calibri"/>
          <w:iCs/>
          <w:sz w:val="22"/>
          <w:szCs w:val="22"/>
          <w:lang w:eastAsia="en-AU"/>
        </w:rPr>
      </w:pPr>
    </w:p>
    <w:p w14:paraId="55B7776D" w14:textId="76DAEB0C" w:rsidR="009F2740" w:rsidRPr="009F2740" w:rsidRDefault="006C1C28" w:rsidP="00A365BB">
      <w:pPr>
        <w:jc w:val="center"/>
        <w:rPr>
          <w:rFonts w:ascii="Century Gothic" w:hAnsi="Century Gothic" w:cstheme="minorHAnsi"/>
          <w:b/>
          <w:bCs/>
          <w:iCs/>
          <w:sz w:val="22"/>
          <w:szCs w:val="22"/>
          <w:lang w:eastAsia="en-AU"/>
        </w:rPr>
      </w:pPr>
      <w:r>
        <w:rPr>
          <w:rFonts w:ascii="Century Gothic" w:hAnsi="Century Gothic" w:cstheme="minorHAnsi"/>
          <w:b/>
          <w:bCs/>
          <w:iCs/>
          <w:sz w:val="44"/>
          <w:szCs w:val="44"/>
          <w:lang w:eastAsia="en-AU"/>
        </w:rPr>
        <w:t>N</w:t>
      </w:r>
      <w:r w:rsidRPr="006C1C28">
        <w:rPr>
          <w:rFonts w:ascii="Century Gothic" w:hAnsi="Century Gothic" w:cstheme="minorHAnsi"/>
          <w:b/>
          <w:bCs/>
          <w:iCs/>
          <w:sz w:val="44"/>
          <w:szCs w:val="44"/>
          <w:lang w:eastAsia="en-AU"/>
        </w:rPr>
        <w:t>on-</w:t>
      </w:r>
      <w:r>
        <w:rPr>
          <w:rFonts w:ascii="Century Gothic" w:hAnsi="Century Gothic" w:cstheme="minorHAnsi"/>
          <w:b/>
          <w:bCs/>
          <w:iCs/>
          <w:sz w:val="44"/>
          <w:szCs w:val="44"/>
          <w:lang w:eastAsia="en-AU"/>
        </w:rPr>
        <w:t>A</w:t>
      </w:r>
      <w:r w:rsidRPr="006C1C28">
        <w:rPr>
          <w:rFonts w:ascii="Century Gothic" w:hAnsi="Century Gothic" w:cstheme="minorHAnsi"/>
          <w:b/>
          <w:bCs/>
          <w:iCs/>
          <w:sz w:val="44"/>
          <w:szCs w:val="44"/>
          <w:lang w:eastAsia="en-AU"/>
        </w:rPr>
        <w:t xml:space="preserve">udit </w:t>
      </w:r>
      <w:r>
        <w:rPr>
          <w:rFonts w:ascii="Century Gothic" w:hAnsi="Century Gothic" w:cstheme="minorHAnsi"/>
          <w:b/>
          <w:bCs/>
          <w:iCs/>
          <w:sz w:val="44"/>
          <w:szCs w:val="44"/>
          <w:lang w:eastAsia="en-AU"/>
        </w:rPr>
        <w:t>S</w:t>
      </w:r>
      <w:r w:rsidRPr="006C1C28">
        <w:rPr>
          <w:rFonts w:ascii="Century Gothic" w:hAnsi="Century Gothic" w:cstheme="minorHAnsi"/>
          <w:b/>
          <w:bCs/>
          <w:iCs/>
          <w:sz w:val="44"/>
          <w:szCs w:val="44"/>
          <w:lang w:eastAsia="en-AU"/>
        </w:rPr>
        <w:t>ervices</w:t>
      </w:r>
      <w:r>
        <w:rPr>
          <w:rFonts w:ascii="Century Gothic" w:hAnsi="Century Gothic" w:cstheme="minorHAnsi"/>
          <w:b/>
          <w:bCs/>
          <w:iCs/>
          <w:sz w:val="44"/>
          <w:szCs w:val="44"/>
          <w:lang w:eastAsia="en-AU"/>
        </w:rPr>
        <w:t xml:space="preserve"> Policy</w:t>
      </w:r>
    </w:p>
    <w:p w14:paraId="0AA6C955" w14:textId="1E921169" w:rsidR="0088529E" w:rsidRPr="006C1C28" w:rsidRDefault="006C1C28" w:rsidP="00A365BB">
      <w:pPr>
        <w:spacing w:after="160" w:line="259" w:lineRule="auto"/>
        <w:jc w:val="center"/>
        <w:rPr>
          <w:rFonts w:ascii="Century Gothic" w:hAnsi="Century Gothic" w:cs="Arial"/>
          <w:b/>
          <w:bCs/>
          <w:iCs/>
          <w:sz w:val="40"/>
          <w:szCs w:val="40"/>
          <w:lang w:eastAsia="en-AU"/>
        </w:rPr>
      </w:pPr>
      <w:r w:rsidRPr="006C1C28">
        <w:rPr>
          <w:rFonts w:ascii="Century Gothic" w:hAnsi="Century Gothic" w:cs="Arial"/>
          <w:b/>
          <w:bCs/>
          <w:iCs/>
          <w:sz w:val="40"/>
          <w:szCs w:val="40"/>
          <w:lang w:eastAsia="en-AU"/>
        </w:rPr>
        <w:t>Pre-approval of audit and non-audit services provided by the external auditor</w:t>
      </w:r>
    </w:p>
    <w:p w14:paraId="707033E8" w14:textId="77777777" w:rsidR="0088529E" w:rsidRPr="003F477C" w:rsidRDefault="0088529E" w:rsidP="00A365BB">
      <w:pPr>
        <w:spacing w:after="160" w:line="259" w:lineRule="auto"/>
        <w:jc w:val="center"/>
        <w:rPr>
          <w:rFonts w:ascii="Century Gothic" w:hAnsi="Century Gothic" w:cs="Arial"/>
          <w:iCs/>
          <w:sz w:val="22"/>
          <w:szCs w:val="22"/>
          <w:lang w:eastAsia="en-AU"/>
        </w:rPr>
      </w:pPr>
    </w:p>
    <w:p w14:paraId="3BFD750E" w14:textId="67D34D66" w:rsidR="0088529E" w:rsidRPr="003F477C" w:rsidRDefault="0088529E" w:rsidP="00A365BB">
      <w:pPr>
        <w:spacing w:after="160" w:line="259" w:lineRule="auto"/>
        <w:jc w:val="center"/>
        <w:rPr>
          <w:rFonts w:ascii="Century Gothic" w:hAnsi="Century Gothic" w:cs="Arial"/>
          <w:b/>
          <w:bCs/>
          <w:iCs/>
          <w:sz w:val="28"/>
          <w:szCs w:val="28"/>
          <w:lang w:eastAsia="en-AU"/>
        </w:rPr>
      </w:pPr>
      <w:r w:rsidRPr="003F477C">
        <w:rPr>
          <w:rFonts w:ascii="Century Gothic" w:hAnsi="Century Gothic" w:cs="Arial"/>
          <w:b/>
          <w:bCs/>
          <w:iCs/>
          <w:sz w:val="28"/>
          <w:szCs w:val="28"/>
          <w:lang w:eastAsia="en-AU"/>
        </w:rPr>
        <w:t>Aeris Resources Limited</w:t>
      </w:r>
    </w:p>
    <w:p w14:paraId="304D294F" w14:textId="1B367AB7" w:rsidR="0088529E" w:rsidRPr="003F477C" w:rsidRDefault="0088529E" w:rsidP="00A365BB">
      <w:pPr>
        <w:spacing w:after="160" w:line="259" w:lineRule="auto"/>
        <w:jc w:val="center"/>
        <w:rPr>
          <w:rFonts w:ascii="Century Gothic" w:hAnsi="Century Gothic" w:cs="Arial"/>
          <w:b/>
          <w:bCs/>
          <w:iCs/>
          <w:sz w:val="22"/>
          <w:szCs w:val="22"/>
          <w:lang w:eastAsia="en-AU"/>
        </w:rPr>
      </w:pPr>
    </w:p>
    <w:p w14:paraId="140E8F1B" w14:textId="0D94C35F" w:rsidR="0088529E" w:rsidRPr="003F477C" w:rsidRDefault="0088529E" w:rsidP="00A365BB">
      <w:pPr>
        <w:spacing w:after="160" w:line="259" w:lineRule="auto"/>
        <w:jc w:val="center"/>
        <w:rPr>
          <w:rFonts w:ascii="Century Gothic" w:hAnsi="Century Gothic" w:cs="Arial"/>
          <w:b/>
          <w:bCs/>
          <w:iCs/>
          <w:sz w:val="22"/>
          <w:szCs w:val="22"/>
          <w:lang w:eastAsia="en-AU"/>
        </w:rPr>
      </w:pPr>
    </w:p>
    <w:p w14:paraId="1F17CEB5" w14:textId="6F61BC42" w:rsidR="0088529E" w:rsidRPr="003F477C" w:rsidRDefault="0088529E" w:rsidP="00A365BB">
      <w:pPr>
        <w:spacing w:after="160" w:line="259" w:lineRule="auto"/>
        <w:jc w:val="center"/>
        <w:rPr>
          <w:rFonts w:ascii="Century Gothic" w:hAnsi="Century Gothic" w:cs="Arial"/>
          <w:b/>
          <w:bCs/>
          <w:iCs/>
          <w:sz w:val="22"/>
          <w:szCs w:val="22"/>
          <w:lang w:eastAsia="en-AU"/>
        </w:rPr>
      </w:pPr>
    </w:p>
    <w:p w14:paraId="13802D42" w14:textId="10D9D5B7" w:rsidR="0088529E" w:rsidRPr="003F477C" w:rsidRDefault="00CF1207" w:rsidP="00A365BB">
      <w:pPr>
        <w:spacing w:after="160" w:line="259" w:lineRule="auto"/>
        <w:jc w:val="center"/>
        <w:rPr>
          <w:rFonts w:ascii="Century Gothic" w:hAnsi="Century Gothic" w:cs="Arial"/>
          <w:b/>
          <w:bCs/>
          <w:iCs/>
          <w:sz w:val="28"/>
          <w:szCs w:val="28"/>
          <w:lang w:eastAsia="en-AU"/>
        </w:rPr>
      </w:pPr>
      <w:r w:rsidRPr="00AD7C03">
        <w:rPr>
          <w:rFonts w:ascii="Century Gothic" w:hAnsi="Century Gothic" w:cs="Arial"/>
          <w:b/>
          <w:bCs/>
          <w:iCs/>
          <w:sz w:val="28"/>
          <w:szCs w:val="28"/>
          <w:lang w:eastAsia="en-AU"/>
        </w:rPr>
        <w:t xml:space="preserve">June </w:t>
      </w:r>
      <w:r w:rsidR="009F2740" w:rsidRPr="00AD7C03">
        <w:rPr>
          <w:rFonts w:ascii="Century Gothic" w:hAnsi="Century Gothic" w:cs="Arial"/>
          <w:b/>
          <w:bCs/>
          <w:iCs/>
          <w:sz w:val="28"/>
          <w:szCs w:val="28"/>
          <w:lang w:eastAsia="en-AU"/>
        </w:rPr>
        <w:t>202</w:t>
      </w:r>
      <w:r w:rsidR="00E96B30" w:rsidRPr="00AD7C03">
        <w:rPr>
          <w:rFonts w:ascii="Century Gothic" w:hAnsi="Century Gothic" w:cs="Arial"/>
          <w:b/>
          <w:bCs/>
          <w:iCs/>
          <w:sz w:val="28"/>
          <w:szCs w:val="28"/>
          <w:lang w:eastAsia="en-AU"/>
        </w:rPr>
        <w:t>3</w:t>
      </w:r>
    </w:p>
    <w:p w14:paraId="179278CD" w14:textId="1B8442A5" w:rsidR="0088529E" w:rsidRDefault="0088529E" w:rsidP="00B40260">
      <w:pPr>
        <w:spacing w:after="160" w:line="259" w:lineRule="auto"/>
        <w:jc w:val="both"/>
        <w:rPr>
          <w:rFonts w:ascii="Calibri" w:hAnsi="Calibri" w:cs="Calibri"/>
          <w:iCs/>
          <w:sz w:val="22"/>
          <w:szCs w:val="22"/>
          <w:lang w:eastAsia="en-AU"/>
        </w:rPr>
      </w:pPr>
      <w:r>
        <w:rPr>
          <w:rFonts w:ascii="Calibri" w:hAnsi="Calibri" w:cs="Calibri"/>
          <w:iCs/>
          <w:sz w:val="22"/>
          <w:szCs w:val="22"/>
          <w:lang w:eastAsia="en-AU"/>
        </w:rPr>
        <w:br w:type="page"/>
      </w:r>
    </w:p>
    <w:p w14:paraId="73A29E78" w14:textId="77777777" w:rsidR="00631860" w:rsidRPr="00631860" w:rsidRDefault="00631860" w:rsidP="00631860">
      <w:pPr>
        <w:keepNext/>
        <w:keepLines/>
        <w:spacing w:after="60" w:line="276" w:lineRule="auto"/>
        <w:rPr>
          <w:rFonts w:ascii="Century Gothic" w:eastAsia="Arial" w:hAnsi="Century Gothic" w:cs="Arial"/>
          <w:sz w:val="52"/>
          <w:szCs w:val="52"/>
          <w:lang w:val="en" w:eastAsia="en-AU"/>
        </w:rPr>
      </w:pPr>
      <w:r w:rsidRPr="00631860">
        <w:rPr>
          <w:rFonts w:ascii="Century Gothic" w:eastAsia="Arial" w:hAnsi="Century Gothic" w:cs="Arial"/>
          <w:sz w:val="52"/>
          <w:szCs w:val="52"/>
          <w:lang w:val="en" w:eastAsia="en-AU"/>
        </w:rPr>
        <w:lastRenderedPageBreak/>
        <w:t>TABLE OF CONTENTS</w:t>
      </w:r>
    </w:p>
    <w:p w14:paraId="40A64732" w14:textId="77777777" w:rsidR="00631860" w:rsidRPr="00631860" w:rsidRDefault="00631860" w:rsidP="00631860">
      <w:pPr>
        <w:spacing w:line="276" w:lineRule="auto"/>
        <w:rPr>
          <w:rFonts w:ascii="Century Gothic" w:eastAsia="Arial" w:hAnsi="Century Gothic" w:cs="Arial"/>
          <w:sz w:val="22"/>
          <w:szCs w:val="22"/>
          <w:lang w:val="en" w:eastAsia="en-AU"/>
        </w:rPr>
      </w:pPr>
    </w:p>
    <w:p w14:paraId="46062EB1" w14:textId="77777777" w:rsidR="00631860" w:rsidRPr="00631860" w:rsidRDefault="00631860" w:rsidP="00631860">
      <w:pPr>
        <w:spacing w:line="276" w:lineRule="auto"/>
        <w:rPr>
          <w:rFonts w:eastAsia="Arial" w:cs="Arial"/>
          <w:sz w:val="22"/>
          <w:szCs w:val="22"/>
          <w:lang w:val="en" w:eastAsia="en-AU"/>
        </w:rPr>
      </w:pPr>
    </w:p>
    <w:sdt>
      <w:sdtPr>
        <w:rPr>
          <w:rFonts w:ascii="Arial" w:eastAsia="Times New Roman" w:hAnsi="Arial" w:cs="Times New Roman"/>
          <w:color w:val="auto"/>
          <w:sz w:val="20"/>
          <w:szCs w:val="24"/>
          <w:lang w:val="en-AU"/>
        </w:rPr>
        <w:id w:val="-1902967797"/>
        <w:docPartObj>
          <w:docPartGallery w:val="Table of Contents"/>
          <w:docPartUnique/>
        </w:docPartObj>
      </w:sdtPr>
      <w:sdtEndPr>
        <w:rPr>
          <w:b/>
          <w:bCs/>
          <w:noProof/>
        </w:rPr>
      </w:sdtEndPr>
      <w:sdtContent>
        <w:p w14:paraId="110B4AB4" w14:textId="37014894" w:rsidR="00F767C8" w:rsidRPr="00F767C8" w:rsidRDefault="00F767C8">
          <w:pPr>
            <w:pStyle w:val="TOCHeading"/>
            <w:rPr>
              <w:rFonts w:ascii="Century Gothic" w:hAnsi="Century Gothic"/>
              <w:color w:val="000000" w:themeColor="text1"/>
            </w:rPr>
          </w:pPr>
          <w:r w:rsidRPr="00F767C8">
            <w:rPr>
              <w:rFonts w:ascii="Century Gothic" w:hAnsi="Century Gothic"/>
              <w:color w:val="000000" w:themeColor="text1"/>
            </w:rPr>
            <w:t>Contents</w:t>
          </w:r>
        </w:p>
        <w:p w14:paraId="2FCE1D37" w14:textId="2AD788D5" w:rsidR="00F767C8" w:rsidRPr="00F767C8" w:rsidRDefault="00F767C8">
          <w:pPr>
            <w:pStyle w:val="TOC2"/>
            <w:tabs>
              <w:tab w:val="left" w:pos="660"/>
              <w:tab w:val="right" w:leader="dot" w:pos="9514"/>
            </w:tabs>
            <w:rPr>
              <w:rFonts w:ascii="Century Gothic" w:hAnsi="Century Gothic"/>
              <w:noProof/>
            </w:rPr>
          </w:pPr>
          <w:r w:rsidRPr="00F767C8">
            <w:rPr>
              <w:rFonts w:ascii="Century Gothic" w:hAnsi="Century Gothic"/>
            </w:rPr>
            <w:fldChar w:fldCharType="begin"/>
          </w:r>
          <w:r w:rsidRPr="00F767C8">
            <w:rPr>
              <w:rFonts w:ascii="Century Gothic" w:hAnsi="Century Gothic"/>
            </w:rPr>
            <w:instrText xml:space="preserve"> TOC \o "1-3" \h \z \u </w:instrText>
          </w:r>
          <w:r w:rsidRPr="00F767C8">
            <w:rPr>
              <w:rFonts w:ascii="Century Gothic" w:hAnsi="Century Gothic"/>
            </w:rPr>
            <w:fldChar w:fldCharType="separate"/>
          </w:r>
          <w:hyperlink w:anchor="_Toc137643330" w:history="1">
            <w:r w:rsidRPr="00F767C8">
              <w:rPr>
                <w:rStyle w:val="Hyperlink"/>
                <w:rFonts w:ascii="Century Gothic" w:eastAsia="Arial" w:hAnsi="Century Gothic" w:cs="Arial"/>
                <w:noProof/>
                <w:lang w:val="en" w:eastAsia="en-AU"/>
              </w:rPr>
              <w:t>1.</w:t>
            </w:r>
            <w:r w:rsidRPr="00F767C8">
              <w:rPr>
                <w:rFonts w:ascii="Century Gothic" w:hAnsi="Century Gothic"/>
                <w:noProof/>
              </w:rPr>
              <w:tab/>
            </w:r>
            <w:r w:rsidRPr="00F767C8">
              <w:rPr>
                <w:rStyle w:val="Hyperlink"/>
                <w:rFonts w:ascii="Century Gothic" w:eastAsia="Arial" w:hAnsi="Century Gothic" w:cs="Arial"/>
                <w:noProof/>
                <w:lang w:val="en" w:eastAsia="en-AU"/>
              </w:rPr>
              <w:t>Purpose and Scope</w:t>
            </w:r>
            <w:r w:rsidRPr="00F767C8">
              <w:rPr>
                <w:rFonts w:ascii="Century Gothic" w:hAnsi="Century Gothic"/>
                <w:noProof/>
                <w:webHidden/>
              </w:rPr>
              <w:tab/>
            </w:r>
            <w:r w:rsidRPr="00F767C8">
              <w:rPr>
                <w:rFonts w:ascii="Century Gothic" w:hAnsi="Century Gothic"/>
                <w:noProof/>
                <w:webHidden/>
              </w:rPr>
              <w:fldChar w:fldCharType="begin"/>
            </w:r>
            <w:r w:rsidRPr="00F767C8">
              <w:rPr>
                <w:rFonts w:ascii="Century Gothic" w:hAnsi="Century Gothic"/>
                <w:noProof/>
                <w:webHidden/>
              </w:rPr>
              <w:instrText xml:space="preserve"> PAGEREF _Toc137643330 \h </w:instrText>
            </w:r>
            <w:r w:rsidRPr="00F767C8">
              <w:rPr>
                <w:rFonts w:ascii="Century Gothic" w:hAnsi="Century Gothic"/>
                <w:noProof/>
                <w:webHidden/>
              </w:rPr>
            </w:r>
            <w:r w:rsidRPr="00F767C8">
              <w:rPr>
                <w:rFonts w:ascii="Century Gothic" w:hAnsi="Century Gothic"/>
                <w:noProof/>
                <w:webHidden/>
              </w:rPr>
              <w:fldChar w:fldCharType="separate"/>
            </w:r>
            <w:r w:rsidR="00CF1207">
              <w:rPr>
                <w:rFonts w:ascii="Century Gothic" w:hAnsi="Century Gothic"/>
                <w:noProof/>
                <w:webHidden/>
              </w:rPr>
              <w:t>3</w:t>
            </w:r>
            <w:r w:rsidRPr="00F767C8">
              <w:rPr>
                <w:rFonts w:ascii="Century Gothic" w:hAnsi="Century Gothic"/>
                <w:noProof/>
                <w:webHidden/>
              </w:rPr>
              <w:fldChar w:fldCharType="end"/>
            </w:r>
          </w:hyperlink>
        </w:p>
        <w:p w14:paraId="114387DF" w14:textId="36F6DDB2" w:rsidR="00F767C8" w:rsidRPr="00F767C8" w:rsidRDefault="00266C18">
          <w:pPr>
            <w:pStyle w:val="TOC2"/>
            <w:tabs>
              <w:tab w:val="left" w:pos="660"/>
              <w:tab w:val="right" w:leader="dot" w:pos="9514"/>
            </w:tabs>
            <w:rPr>
              <w:rFonts w:ascii="Century Gothic" w:hAnsi="Century Gothic"/>
              <w:noProof/>
            </w:rPr>
          </w:pPr>
          <w:hyperlink w:anchor="_Toc137643331" w:history="1">
            <w:r w:rsidR="00F767C8" w:rsidRPr="00F767C8">
              <w:rPr>
                <w:rStyle w:val="Hyperlink"/>
                <w:rFonts w:ascii="Century Gothic" w:eastAsia="Arial" w:hAnsi="Century Gothic" w:cs="Arial"/>
                <w:noProof/>
                <w:lang w:val="en" w:eastAsia="en-AU"/>
              </w:rPr>
              <w:t>2.</w:t>
            </w:r>
            <w:r w:rsidR="00F767C8" w:rsidRPr="00F767C8">
              <w:rPr>
                <w:rFonts w:ascii="Century Gothic" w:hAnsi="Century Gothic"/>
                <w:noProof/>
              </w:rPr>
              <w:tab/>
            </w:r>
            <w:r w:rsidR="00F767C8" w:rsidRPr="00F767C8">
              <w:rPr>
                <w:rStyle w:val="Hyperlink"/>
                <w:rFonts w:ascii="Century Gothic" w:eastAsia="Arial" w:hAnsi="Century Gothic" w:cs="Arial"/>
                <w:noProof/>
                <w:lang w:val="en" w:eastAsia="en-AU"/>
              </w:rPr>
              <w:t>Key Requirements</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_Toc137643331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3</w:t>
            </w:r>
            <w:r w:rsidR="00F767C8" w:rsidRPr="00F767C8">
              <w:rPr>
                <w:rFonts w:ascii="Century Gothic" w:hAnsi="Century Gothic"/>
                <w:noProof/>
                <w:webHidden/>
              </w:rPr>
              <w:fldChar w:fldCharType="end"/>
            </w:r>
          </w:hyperlink>
        </w:p>
        <w:p w14:paraId="66C03506" w14:textId="0DC52B01" w:rsidR="00F767C8" w:rsidRPr="00F767C8" w:rsidRDefault="00266C18">
          <w:pPr>
            <w:pStyle w:val="TOC2"/>
            <w:tabs>
              <w:tab w:val="left" w:pos="660"/>
              <w:tab w:val="right" w:leader="dot" w:pos="9514"/>
            </w:tabs>
            <w:rPr>
              <w:rFonts w:ascii="Century Gothic" w:hAnsi="Century Gothic"/>
              <w:noProof/>
            </w:rPr>
          </w:pPr>
          <w:hyperlink w:anchor="_Toc137643332" w:history="1">
            <w:r w:rsidR="00F767C8" w:rsidRPr="00F767C8">
              <w:rPr>
                <w:rStyle w:val="Hyperlink"/>
                <w:rFonts w:ascii="Century Gothic" w:eastAsia="Arial" w:hAnsi="Century Gothic" w:cs="Arial"/>
                <w:noProof/>
                <w:lang w:val="en" w:eastAsia="en-AU"/>
              </w:rPr>
              <w:t>3.</w:t>
            </w:r>
            <w:r w:rsidR="00F767C8" w:rsidRPr="00F767C8">
              <w:rPr>
                <w:rFonts w:ascii="Century Gothic" w:hAnsi="Century Gothic"/>
                <w:noProof/>
              </w:rPr>
              <w:tab/>
            </w:r>
            <w:r w:rsidR="00F767C8" w:rsidRPr="00F767C8">
              <w:rPr>
                <w:rStyle w:val="Hyperlink"/>
                <w:rFonts w:ascii="Century Gothic" w:eastAsia="Arial" w:hAnsi="Century Gothic" w:cs="Arial"/>
                <w:noProof/>
                <w:lang w:val="en" w:eastAsia="en-AU"/>
              </w:rPr>
              <w:t>Responsibilities and Accountabilities</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_Toc137643332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4</w:t>
            </w:r>
            <w:r w:rsidR="00F767C8" w:rsidRPr="00F767C8">
              <w:rPr>
                <w:rFonts w:ascii="Century Gothic" w:hAnsi="Century Gothic"/>
                <w:noProof/>
                <w:webHidden/>
              </w:rPr>
              <w:fldChar w:fldCharType="end"/>
            </w:r>
          </w:hyperlink>
        </w:p>
        <w:p w14:paraId="76BF1E2A" w14:textId="41660472" w:rsidR="00F767C8" w:rsidRPr="00F767C8" w:rsidRDefault="00266C18">
          <w:pPr>
            <w:pStyle w:val="TOC2"/>
            <w:tabs>
              <w:tab w:val="left" w:pos="660"/>
              <w:tab w:val="right" w:leader="dot" w:pos="9514"/>
            </w:tabs>
            <w:rPr>
              <w:rFonts w:ascii="Century Gothic" w:hAnsi="Century Gothic"/>
              <w:noProof/>
            </w:rPr>
          </w:pPr>
          <w:hyperlink w:anchor="_Toc137643333" w:history="1">
            <w:r w:rsidR="00F767C8" w:rsidRPr="00F767C8">
              <w:rPr>
                <w:rStyle w:val="Hyperlink"/>
                <w:rFonts w:ascii="Century Gothic" w:eastAsia="Arial" w:hAnsi="Century Gothic" w:cs="Arial"/>
                <w:noProof/>
                <w:lang w:val="en" w:eastAsia="en-AU"/>
              </w:rPr>
              <w:t>4.</w:t>
            </w:r>
            <w:r w:rsidR="00F767C8" w:rsidRPr="00F767C8">
              <w:rPr>
                <w:rFonts w:ascii="Century Gothic" w:hAnsi="Century Gothic"/>
                <w:noProof/>
              </w:rPr>
              <w:tab/>
            </w:r>
            <w:r w:rsidR="00F767C8" w:rsidRPr="00F767C8">
              <w:rPr>
                <w:rStyle w:val="Hyperlink"/>
                <w:rFonts w:ascii="Century Gothic" w:eastAsia="Arial" w:hAnsi="Century Gothic" w:cs="Arial"/>
                <w:noProof/>
                <w:lang w:val="en" w:eastAsia="en-AU"/>
              </w:rPr>
              <w:t>Recording and Reporting</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_Toc137643333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5</w:t>
            </w:r>
            <w:r w:rsidR="00F767C8" w:rsidRPr="00F767C8">
              <w:rPr>
                <w:rFonts w:ascii="Century Gothic" w:hAnsi="Century Gothic"/>
                <w:noProof/>
                <w:webHidden/>
              </w:rPr>
              <w:fldChar w:fldCharType="end"/>
            </w:r>
          </w:hyperlink>
        </w:p>
        <w:p w14:paraId="1CF51C2F" w14:textId="7091B357" w:rsidR="00F767C8" w:rsidRPr="00F767C8" w:rsidRDefault="00266C18">
          <w:pPr>
            <w:pStyle w:val="TOC2"/>
            <w:tabs>
              <w:tab w:val="left" w:pos="660"/>
              <w:tab w:val="right" w:leader="dot" w:pos="9514"/>
            </w:tabs>
            <w:rPr>
              <w:rFonts w:ascii="Century Gothic" w:hAnsi="Century Gothic"/>
              <w:noProof/>
            </w:rPr>
          </w:pPr>
          <w:hyperlink w:anchor="_Toc137643334" w:history="1">
            <w:r w:rsidR="00F767C8" w:rsidRPr="00F767C8">
              <w:rPr>
                <w:rStyle w:val="Hyperlink"/>
                <w:rFonts w:ascii="Century Gothic" w:eastAsia="Arial" w:hAnsi="Century Gothic" w:cs="Arial"/>
                <w:noProof/>
                <w:lang w:val="en" w:eastAsia="en-AU"/>
              </w:rPr>
              <w:t>5.</w:t>
            </w:r>
            <w:r w:rsidR="00F767C8" w:rsidRPr="00F767C8">
              <w:rPr>
                <w:rFonts w:ascii="Century Gothic" w:hAnsi="Century Gothic"/>
                <w:noProof/>
              </w:rPr>
              <w:tab/>
            </w:r>
            <w:r w:rsidR="00F767C8" w:rsidRPr="00F767C8">
              <w:rPr>
                <w:rStyle w:val="Hyperlink"/>
                <w:rFonts w:ascii="Century Gothic" w:eastAsia="Arial" w:hAnsi="Century Gothic" w:cs="Arial"/>
                <w:noProof/>
                <w:lang w:val="en" w:eastAsia="en-AU"/>
              </w:rPr>
              <w:t>Interpretation</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_Toc137643334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5</w:t>
            </w:r>
            <w:r w:rsidR="00F767C8" w:rsidRPr="00F767C8">
              <w:rPr>
                <w:rFonts w:ascii="Century Gothic" w:hAnsi="Century Gothic"/>
                <w:noProof/>
                <w:webHidden/>
              </w:rPr>
              <w:fldChar w:fldCharType="end"/>
            </w:r>
          </w:hyperlink>
        </w:p>
        <w:p w14:paraId="0246F259" w14:textId="6C8666B9" w:rsidR="00F767C8" w:rsidRPr="00F767C8" w:rsidRDefault="00266C18">
          <w:pPr>
            <w:pStyle w:val="TOC2"/>
            <w:tabs>
              <w:tab w:val="right" w:leader="dot" w:pos="9514"/>
            </w:tabs>
            <w:rPr>
              <w:rFonts w:ascii="Century Gothic" w:hAnsi="Century Gothic"/>
              <w:noProof/>
            </w:rPr>
          </w:pPr>
          <w:hyperlink w:anchor="_Toc137643335" w:history="1">
            <w:r w:rsidR="00F767C8" w:rsidRPr="00F767C8">
              <w:rPr>
                <w:rStyle w:val="Hyperlink"/>
                <w:rFonts w:ascii="Century Gothic" w:eastAsia="Georgia" w:hAnsi="Century Gothic" w:cs="Georgia"/>
                <w:noProof/>
                <w:lang w:val="en" w:eastAsia="en-AU"/>
              </w:rPr>
              <w:t>Appendix A: Pre-Approved Assurance Services (“Category A”)</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_Toc137643335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6</w:t>
            </w:r>
            <w:r w:rsidR="00F767C8" w:rsidRPr="00F767C8">
              <w:rPr>
                <w:rFonts w:ascii="Century Gothic" w:hAnsi="Century Gothic"/>
                <w:noProof/>
                <w:webHidden/>
              </w:rPr>
              <w:fldChar w:fldCharType="end"/>
            </w:r>
          </w:hyperlink>
        </w:p>
        <w:p w14:paraId="077AD337" w14:textId="045A8C7D" w:rsidR="00F767C8" w:rsidRPr="00F767C8" w:rsidRDefault="00266C18">
          <w:pPr>
            <w:pStyle w:val="TOC2"/>
            <w:tabs>
              <w:tab w:val="right" w:leader="dot" w:pos="9514"/>
            </w:tabs>
            <w:rPr>
              <w:rFonts w:ascii="Century Gothic" w:hAnsi="Century Gothic"/>
              <w:noProof/>
            </w:rPr>
          </w:pPr>
          <w:hyperlink w:anchor="_Toc137643337" w:history="1">
            <w:r w:rsidR="00F767C8" w:rsidRPr="00F767C8">
              <w:rPr>
                <w:rStyle w:val="Hyperlink"/>
                <w:rFonts w:ascii="Century Gothic" w:eastAsia="Georgia" w:hAnsi="Century Gothic" w:cs="Georgia"/>
                <w:noProof/>
                <w:lang w:val="en" w:eastAsia="en-AU"/>
              </w:rPr>
              <w:t>Appendix B: Pre-Approved  Non Audit Services (“Category B”)</w:t>
            </w:r>
            <w:r w:rsidR="00F767C8" w:rsidRPr="00F767C8">
              <w:rPr>
                <w:rFonts w:ascii="Century Gothic" w:hAnsi="Century Gothic"/>
                <w:noProof/>
                <w:webHidden/>
              </w:rPr>
              <w:tab/>
            </w:r>
            <w:r w:rsidR="00F767C8" w:rsidRPr="00F767C8">
              <w:rPr>
                <w:rFonts w:ascii="Century Gothic" w:hAnsi="Century Gothic"/>
                <w:noProof/>
                <w:webHidden/>
              </w:rPr>
              <w:fldChar w:fldCharType="begin"/>
            </w:r>
            <w:r w:rsidR="00F767C8" w:rsidRPr="00F767C8">
              <w:rPr>
                <w:rFonts w:ascii="Century Gothic" w:hAnsi="Century Gothic"/>
                <w:noProof/>
                <w:webHidden/>
              </w:rPr>
              <w:instrText xml:space="preserve"> PAGEREF _Toc137643337 \h </w:instrText>
            </w:r>
            <w:r w:rsidR="00F767C8" w:rsidRPr="00F767C8">
              <w:rPr>
                <w:rFonts w:ascii="Century Gothic" w:hAnsi="Century Gothic"/>
                <w:noProof/>
                <w:webHidden/>
              </w:rPr>
            </w:r>
            <w:r w:rsidR="00F767C8" w:rsidRPr="00F767C8">
              <w:rPr>
                <w:rFonts w:ascii="Century Gothic" w:hAnsi="Century Gothic"/>
                <w:noProof/>
                <w:webHidden/>
              </w:rPr>
              <w:fldChar w:fldCharType="separate"/>
            </w:r>
            <w:r w:rsidR="00CF1207">
              <w:rPr>
                <w:rFonts w:ascii="Century Gothic" w:hAnsi="Century Gothic"/>
                <w:noProof/>
                <w:webHidden/>
              </w:rPr>
              <w:t>7</w:t>
            </w:r>
            <w:r w:rsidR="00F767C8" w:rsidRPr="00F767C8">
              <w:rPr>
                <w:rFonts w:ascii="Century Gothic" w:hAnsi="Century Gothic"/>
                <w:noProof/>
                <w:webHidden/>
              </w:rPr>
              <w:fldChar w:fldCharType="end"/>
            </w:r>
          </w:hyperlink>
        </w:p>
        <w:p w14:paraId="793D8379" w14:textId="549D70E8" w:rsidR="00F767C8" w:rsidRDefault="00F767C8">
          <w:r w:rsidRPr="00F767C8">
            <w:rPr>
              <w:rFonts w:ascii="Century Gothic" w:hAnsi="Century Gothic"/>
              <w:b/>
              <w:bCs/>
              <w:noProof/>
            </w:rPr>
            <w:fldChar w:fldCharType="end"/>
          </w:r>
        </w:p>
      </w:sdtContent>
    </w:sdt>
    <w:p w14:paraId="049CCCE5" w14:textId="77777777" w:rsidR="00631860" w:rsidRPr="00631860" w:rsidRDefault="00631860" w:rsidP="00631860">
      <w:pPr>
        <w:spacing w:line="276" w:lineRule="auto"/>
        <w:rPr>
          <w:rFonts w:eastAsia="Arial" w:cs="Arial"/>
          <w:sz w:val="22"/>
          <w:szCs w:val="22"/>
          <w:lang w:val="en" w:eastAsia="en-AU"/>
        </w:rPr>
      </w:pPr>
    </w:p>
    <w:p w14:paraId="0E6D12E2" w14:textId="77777777" w:rsidR="00631860" w:rsidRPr="00631860" w:rsidRDefault="00631860" w:rsidP="006C1C28">
      <w:pPr>
        <w:keepNext/>
        <w:keepLines/>
        <w:spacing w:after="240"/>
        <w:ind w:left="426" w:right="390"/>
        <w:outlineLvl w:val="1"/>
        <w:rPr>
          <w:rFonts w:eastAsia="Arial" w:cs="Arial"/>
          <w:sz w:val="32"/>
          <w:szCs w:val="32"/>
          <w:lang w:val="en" w:eastAsia="en-AU"/>
        </w:rPr>
      </w:pPr>
      <w:r w:rsidRPr="00631860">
        <w:rPr>
          <w:rFonts w:cs="Arial"/>
          <w:sz w:val="32"/>
          <w:szCs w:val="32"/>
          <w:lang w:val="en" w:eastAsia="en-AU"/>
        </w:rPr>
        <w:br w:type="page"/>
      </w:r>
    </w:p>
    <w:p w14:paraId="097A2998" w14:textId="77777777" w:rsidR="00631860" w:rsidRPr="00631860" w:rsidRDefault="00631860" w:rsidP="00631860">
      <w:pPr>
        <w:keepNext/>
        <w:keepLines/>
        <w:spacing w:before="360" w:after="120" w:line="280" w:lineRule="auto"/>
        <w:outlineLvl w:val="1"/>
        <w:rPr>
          <w:rFonts w:ascii="Century Gothic" w:eastAsia="Arial" w:hAnsi="Century Gothic" w:cs="Arial"/>
          <w:sz w:val="32"/>
          <w:szCs w:val="32"/>
          <w:lang w:val="en" w:eastAsia="en-AU"/>
        </w:rPr>
      </w:pPr>
      <w:bookmarkStart w:id="0" w:name="_Toc137643330"/>
      <w:r w:rsidRPr="00631860">
        <w:rPr>
          <w:rFonts w:eastAsia="Arial" w:cs="Arial"/>
          <w:sz w:val="32"/>
          <w:szCs w:val="32"/>
          <w:lang w:val="en" w:eastAsia="en-AU"/>
        </w:rPr>
        <w:lastRenderedPageBreak/>
        <w:t>1.</w:t>
      </w:r>
      <w:r w:rsidRPr="00631860">
        <w:rPr>
          <w:rFonts w:eastAsia="Arial" w:cs="Arial"/>
          <w:sz w:val="32"/>
          <w:szCs w:val="32"/>
          <w:lang w:val="en" w:eastAsia="en-AU"/>
        </w:rPr>
        <w:tab/>
      </w:r>
      <w:r w:rsidRPr="00C12FD6">
        <w:rPr>
          <w:rFonts w:ascii="Century Gothic" w:eastAsia="Arial" w:hAnsi="Century Gothic" w:cs="Arial"/>
          <w:b/>
          <w:bCs/>
          <w:sz w:val="32"/>
          <w:szCs w:val="32"/>
          <w:lang w:val="en" w:eastAsia="en-AU"/>
        </w:rPr>
        <w:t>Purpose and Scope</w:t>
      </w:r>
      <w:bookmarkEnd w:id="0"/>
    </w:p>
    <w:p w14:paraId="3E02CBB6" w14:textId="0A526632" w:rsidR="00182E21" w:rsidRPr="00C12FD6" w:rsidRDefault="00631860" w:rsidP="00631860">
      <w:pPr>
        <w:spacing w:after="120" w:line="280" w:lineRule="auto"/>
        <w:ind w:left="720" w:hanging="720"/>
        <w:rPr>
          <w:rFonts w:ascii="Century Gothic" w:eastAsia="Arial" w:hAnsi="Century Gothic" w:cs="Arial"/>
          <w:szCs w:val="20"/>
          <w:lang w:val="en" w:eastAsia="en-AU"/>
        </w:rPr>
      </w:pPr>
      <w:r w:rsidRPr="00C12FD6">
        <w:rPr>
          <w:rFonts w:ascii="Century Gothic" w:eastAsia="Arial" w:hAnsi="Century Gothic" w:cs="Arial"/>
          <w:szCs w:val="20"/>
          <w:lang w:val="en" w:eastAsia="en-AU"/>
        </w:rPr>
        <w:t>1.1</w:t>
      </w:r>
      <w:r w:rsidRPr="00C12FD6">
        <w:rPr>
          <w:rFonts w:ascii="Century Gothic" w:eastAsia="Arial" w:hAnsi="Century Gothic" w:cs="Arial"/>
          <w:szCs w:val="20"/>
          <w:lang w:val="en" w:eastAsia="en-AU"/>
        </w:rPr>
        <w:tab/>
      </w:r>
      <w:r w:rsidR="00182E21" w:rsidRPr="00C12FD6">
        <w:rPr>
          <w:rFonts w:ascii="Century Gothic" w:eastAsia="Arial" w:hAnsi="Century Gothic" w:cs="Arial"/>
          <w:szCs w:val="20"/>
          <w:lang w:val="en" w:eastAsia="en-AU"/>
        </w:rPr>
        <w:t>The Audit Committee is responsible for the development and oversight of the company's policy on the engagement of the external auditor to supply non audit services and ensure compliance with the policy.</w:t>
      </w:r>
    </w:p>
    <w:p w14:paraId="7ED5FB68" w14:textId="2A460B4D"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1.2</w:t>
      </w:r>
      <w:r w:rsidRPr="00631860">
        <w:rPr>
          <w:rFonts w:ascii="Century Gothic" w:eastAsia="Arial" w:hAnsi="Century Gothic" w:cs="Arial"/>
          <w:szCs w:val="20"/>
          <w:lang w:val="en" w:eastAsia="en-AU"/>
        </w:rPr>
        <w:tab/>
        <w:t>This p</w:t>
      </w:r>
      <w:r w:rsidR="00182E21">
        <w:rPr>
          <w:rFonts w:ascii="Century Gothic" w:eastAsia="Arial" w:hAnsi="Century Gothic" w:cs="Arial"/>
          <w:szCs w:val="20"/>
          <w:lang w:val="en" w:eastAsia="en-AU"/>
        </w:rPr>
        <w:t>olicy</w:t>
      </w:r>
      <w:r w:rsidRPr="00631860">
        <w:rPr>
          <w:rFonts w:ascii="Century Gothic" w:eastAsia="Arial" w:hAnsi="Century Gothic" w:cs="Arial"/>
          <w:szCs w:val="20"/>
          <w:lang w:val="en" w:eastAsia="en-AU"/>
        </w:rPr>
        <w:t xml:space="preserve"> applies to all services provided by the external auditor to Aeris and its controlled entities (collectively referred to as the Group). It applies to all engagements of the external auditor irrespective of the value of the services to be performed or the materiality of the entity receiving the service relative to the size of the Group taken as a whole.</w:t>
      </w:r>
    </w:p>
    <w:p w14:paraId="721AB09A" w14:textId="1AAD7505"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1.3</w:t>
      </w:r>
      <w:r w:rsidRPr="00631860">
        <w:rPr>
          <w:rFonts w:ascii="Century Gothic" w:eastAsia="Arial" w:hAnsi="Century Gothic" w:cs="Arial"/>
          <w:szCs w:val="20"/>
          <w:lang w:val="en" w:eastAsia="en-AU"/>
        </w:rPr>
        <w:tab/>
        <w:t xml:space="preserve">This </w:t>
      </w:r>
      <w:r w:rsidR="00182E21">
        <w:rPr>
          <w:rFonts w:ascii="Century Gothic" w:eastAsia="Arial" w:hAnsi="Century Gothic" w:cs="Arial"/>
          <w:szCs w:val="20"/>
          <w:lang w:val="en" w:eastAsia="en-AU"/>
        </w:rPr>
        <w:t>policy</w:t>
      </w:r>
      <w:r w:rsidRPr="00631860">
        <w:rPr>
          <w:rFonts w:ascii="Century Gothic" w:eastAsia="Arial" w:hAnsi="Century Gothic" w:cs="Arial"/>
          <w:szCs w:val="20"/>
          <w:lang w:val="en" w:eastAsia="en-AU"/>
        </w:rPr>
        <w:t xml:space="preserve"> applies to the current external auditor and proposed external auditor during a transitional resignation or appointment period.</w:t>
      </w:r>
    </w:p>
    <w:p w14:paraId="3BD804D2" w14:textId="37D3D739" w:rsidR="00182E21" w:rsidRDefault="00631860" w:rsidP="00182E21">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1.4</w:t>
      </w:r>
      <w:r w:rsidRPr="00631860">
        <w:rPr>
          <w:rFonts w:ascii="Century Gothic" w:eastAsia="Arial" w:hAnsi="Century Gothic" w:cs="Arial"/>
          <w:szCs w:val="20"/>
          <w:lang w:val="en" w:eastAsia="en-AU"/>
        </w:rPr>
        <w:tab/>
      </w:r>
      <w:proofErr w:type="gramStart"/>
      <w:r w:rsidR="00182E21" w:rsidRPr="00182E21">
        <w:rPr>
          <w:rFonts w:ascii="Century Gothic" w:eastAsia="Arial" w:hAnsi="Century Gothic" w:cs="Arial"/>
          <w:szCs w:val="20"/>
          <w:lang w:val="en" w:eastAsia="en-AU"/>
        </w:rPr>
        <w:t>Non-audit</w:t>
      </w:r>
      <w:proofErr w:type="gramEnd"/>
      <w:r w:rsidR="00182E21" w:rsidRPr="00182E21">
        <w:rPr>
          <w:rFonts w:ascii="Century Gothic" w:eastAsia="Arial" w:hAnsi="Century Gothic" w:cs="Arial"/>
          <w:szCs w:val="20"/>
          <w:lang w:val="en" w:eastAsia="en-AU"/>
        </w:rPr>
        <w:t xml:space="preserve"> services' means any services provided by the external auditor which are not included in, or are not</w:t>
      </w:r>
      <w:r w:rsidR="00182E21">
        <w:rPr>
          <w:rFonts w:ascii="Century Gothic" w:eastAsia="Arial" w:hAnsi="Century Gothic" w:cs="Arial"/>
          <w:szCs w:val="20"/>
          <w:lang w:val="en" w:eastAsia="en-AU"/>
        </w:rPr>
        <w:t xml:space="preserve"> </w:t>
      </w:r>
      <w:r w:rsidR="00182E21" w:rsidRPr="00182E21">
        <w:rPr>
          <w:rFonts w:ascii="Century Gothic" w:eastAsia="Arial" w:hAnsi="Century Gothic" w:cs="Arial"/>
          <w:szCs w:val="20"/>
          <w:lang w:val="en" w:eastAsia="en-AU"/>
        </w:rPr>
        <w:t>necessarily incidental to, the terms of the audit engagement. 'Non-audit services' do not include 'prohibited</w:t>
      </w:r>
      <w:r w:rsidR="00182E21">
        <w:rPr>
          <w:rFonts w:ascii="Century Gothic" w:eastAsia="Arial" w:hAnsi="Century Gothic" w:cs="Arial"/>
          <w:szCs w:val="20"/>
          <w:lang w:val="en" w:eastAsia="en-AU"/>
        </w:rPr>
        <w:t xml:space="preserve"> </w:t>
      </w:r>
      <w:r w:rsidR="00182E21" w:rsidRPr="00182E21">
        <w:rPr>
          <w:rFonts w:ascii="Century Gothic" w:eastAsia="Arial" w:hAnsi="Century Gothic" w:cs="Arial"/>
          <w:szCs w:val="20"/>
          <w:lang w:val="en" w:eastAsia="en-AU"/>
        </w:rPr>
        <w:t>non audit services' that are referred to below.</w:t>
      </w:r>
    </w:p>
    <w:p w14:paraId="40586BDB" w14:textId="331EC048" w:rsidR="00182E21" w:rsidRDefault="00182E21" w:rsidP="00182E21">
      <w:pPr>
        <w:spacing w:after="120" w:line="280" w:lineRule="auto"/>
        <w:ind w:left="720" w:hanging="720"/>
        <w:rPr>
          <w:rFonts w:ascii="Century Gothic" w:eastAsia="Arial" w:hAnsi="Century Gothic" w:cs="Arial"/>
          <w:szCs w:val="20"/>
          <w:lang w:val="en" w:eastAsia="en-AU"/>
        </w:rPr>
      </w:pPr>
      <w:r>
        <w:rPr>
          <w:rFonts w:ascii="Century Gothic" w:eastAsia="Arial" w:hAnsi="Century Gothic" w:cs="Arial"/>
          <w:szCs w:val="20"/>
          <w:lang w:val="en" w:eastAsia="en-AU"/>
        </w:rPr>
        <w:tab/>
      </w:r>
      <w:r w:rsidRPr="00182E21">
        <w:rPr>
          <w:rFonts w:ascii="Century Gothic" w:eastAsia="Arial" w:hAnsi="Century Gothic" w:cs="Arial"/>
          <w:szCs w:val="20"/>
          <w:lang w:val="en" w:eastAsia="en-AU"/>
        </w:rPr>
        <w:t>'Prohibited non-audit services' are services that, if provided by the external auditor to the company, would</w:t>
      </w:r>
      <w:r>
        <w:rPr>
          <w:rFonts w:ascii="Century Gothic" w:eastAsia="Arial" w:hAnsi="Century Gothic" w:cs="Arial"/>
          <w:szCs w:val="20"/>
          <w:lang w:val="en" w:eastAsia="en-AU"/>
        </w:rPr>
        <w:t xml:space="preserve"> </w:t>
      </w:r>
      <w:r w:rsidRPr="00182E21">
        <w:rPr>
          <w:rFonts w:ascii="Century Gothic" w:eastAsia="Arial" w:hAnsi="Century Gothic" w:cs="Arial"/>
          <w:szCs w:val="20"/>
          <w:lang w:val="en" w:eastAsia="en-AU"/>
        </w:rPr>
        <w:t>create a real or perceived threat to the independence of the external auditor.</w:t>
      </w:r>
    </w:p>
    <w:p w14:paraId="697DA06B" w14:textId="77777777"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1.5</w:t>
      </w:r>
      <w:r w:rsidRPr="00631860">
        <w:rPr>
          <w:rFonts w:ascii="Century Gothic" w:eastAsia="Arial" w:hAnsi="Century Gothic" w:cs="Arial"/>
          <w:szCs w:val="20"/>
          <w:lang w:val="en" w:eastAsia="en-AU"/>
        </w:rPr>
        <w:tab/>
        <w:t>Nothing in this principle is to be interpreted as removing or qualifying in any way the obligation of the external auditor not to undertake any services which are contrary to the applicable rules or policies of any relevant authority.</w:t>
      </w:r>
    </w:p>
    <w:p w14:paraId="13800722" w14:textId="0DF10642"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1.6</w:t>
      </w:r>
      <w:r w:rsidRPr="00631860">
        <w:rPr>
          <w:rFonts w:ascii="Century Gothic" w:eastAsia="Arial" w:hAnsi="Century Gothic" w:cs="Arial"/>
          <w:szCs w:val="20"/>
          <w:lang w:val="en" w:eastAsia="en-AU"/>
        </w:rPr>
        <w:tab/>
        <w:t xml:space="preserve">The purpose of this </w:t>
      </w:r>
      <w:r w:rsidR="00182E21">
        <w:rPr>
          <w:rFonts w:ascii="Century Gothic" w:eastAsia="Arial" w:hAnsi="Century Gothic" w:cs="Arial"/>
          <w:szCs w:val="20"/>
          <w:lang w:val="en" w:eastAsia="en-AU"/>
        </w:rPr>
        <w:t>policy</w:t>
      </w:r>
      <w:r w:rsidRPr="00631860">
        <w:rPr>
          <w:rFonts w:ascii="Century Gothic" w:eastAsia="Arial" w:hAnsi="Century Gothic" w:cs="Arial"/>
          <w:szCs w:val="20"/>
          <w:lang w:val="en" w:eastAsia="en-AU"/>
        </w:rPr>
        <w:t xml:space="preserve"> is to provide corporate direction and oversight to ensure that Aeris meets its legal/regulatory compliance obligations for audit and non-audit services provided by the external auditor. This p</w:t>
      </w:r>
      <w:r w:rsidR="00182E21">
        <w:rPr>
          <w:rFonts w:ascii="Century Gothic" w:eastAsia="Arial" w:hAnsi="Century Gothic" w:cs="Arial"/>
          <w:szCs w:val="20"/>
          <w:lang w:val="en" w:eastAsia="en-AU"/>
        </w:rPr>
        <w:t>olicy</w:t>
      </w:r>
      <w:r w:rsidRPr="00631860">
        <w:rPr>
          <w:rFonts w:ascii="Century Gothic" w:eastAsia="Arial" w:hAnsi="Century Gothic" w:cs="Arial"/>
          <w:szCs w:val="20"/>
          <w:lang w:val="en" w:eastAsia="en-AU"/>
        </w:rPr>
        <w:t xml:space="preserve"> applies to Aeris and its controlled entities.</w:t>
      </w:r>
    </w:p>
    <w:p w14:paraId="319E6A29" w14:textId="77777777" w:rsidR="00631860" w:rsidRPr="00631860" w:rsidRDefault="00631860" w:rsidP="00631860">
      <w:pPr>
        <w:keepNext/>
        <w:keepLines/>
        <w:spacing w:before="360" w:after="120" w:line="280" w:lineRule="auto"/>
        <w:outlineLvl w:val="1"/>
        <w:rPr>
          <w:rFonts w:eastAsia="Arial" w:cs="Arial"/>
          <w:sz w:val="32"/>
          <w:szCs w:val="32"/>
          <w:lang w:val="en" w:eastAsia="en-AU"/>
        </w:rPr>
      </w:pPr>
      <w:bookmarkStart w:id="1" w:name="_Toc137643331"/>
      <w:r w:rsidRPr="00631860">
        <w:rPr>
          <w:rFonts w:eastAsia="Arial" w:cs="Arial"/>
          <w:sz w:val="32"/>
          <w:szCs w:val="32"/>
          <w:lang w:val="en" w:eastAsia="en-AU"/>
        </w:rPr>
        <w:t>2.</w:t>
      </w:r>
      <w:r w:rsidRPr="00631860">
        <w:rPr>
          <w:rFonts w:eastAsia="Arial" w:cs="Arial"/>
          <w:sz w:val="32"/>
          <w:szCs w:val="32"/>
          <w:lang w:val="en" w:eastAsia="en-AU"/>
        </w:rPr>
        <w:tab/>
      </w:r>
      <w:r w:rsidRPr="00C12FD6">
        <w:rPr>
          <w:rFonts w:ascii="Century Gothic" w:eastAsia="Arial" w:hAnsi="Century Gothic" w:cs="Arial"/>
          <w:b/>
          <w:bCs/>
          <w:sz w:val="32"/>
          <w:szCs w:val="32"/>
          <w:lang w:val="en" w:eastAsia="en-AU"/>
        </w:rPr>
        <w:t>Key Requirements</w:t>
      </w:r>
      <w:bookmarkEnd w:id="1"/>
    </w:p>
    <w:p w14:paraId="4063F51E" w14:textId="4AE147DE"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eastAsia="Arial" w:cs="Arial"/>
          <w:szCs w:val="20"/>
          <w:lang w:val="en" w:eastAsia="en-AU"/>
        </w:rPr>
        <w:t>2.1</w:t>
      </w:r>
      <w:r w:rsidRPr="00631860">
        <w:rPr>
          <w:rFonts w:eastAsia="Arial" w:cs="Arial"/>
          <w:szCs w:val="20"/>
          <w:lang w:val="en" w:eastAsia="en-AU"/>
        </w:rPr>
        <w:tab/>
      </w:r>
      <w:r w:rsidRPr="00631860">
        <w:rPr>
          <w:rFonts w:ascii="Century Gothic" w:eastAsia="Arial" w:hAnsi="Century Gothic" w:cs="Arial"/>
          <w:szCs w:val="20"/>
          <w:lang w:val="en" w:eastAsia="en-AU"/>
        </w:rPr>
        <w:t>The Audit Committee has pre-approved certain audit and audit-related / taxation services where it has determined that the provision of such services does not impair the independence of the external auditor. These pre-approved services are detailed in A</w:t>
      </w:r>
      <w:r w:rsidR="00182E21">
        <w:rPr>
          <w:rFonts w:ascii="Century Gothic" w:eastAsia="Arial" w:hAnsi="Century Gothic" w:cs="Arial"/>
          <w:szCs w:val="20"/>
          <w:lang w:val="en" w:eastAsia="en-AU"/>
        </w:rPr>
        <w:t>ppendices</w:t>
      </w:r>
      <w:r w:rsidRPr="00631860">
        <w:rPr>
          <w:rFonts w:ascii="Century Gothic" w:eastAsia="Arial" w:hAnsi="Century Gothic" w:cs="Arial"/>
          <w:szCs w:val="20"/>
          <w:lang w:val="en" w:eastAsia="en-AU"/>
        </w:rPr>
        <w:t xml:space="preserve"> A and B respectively.</w:t>
      </w:r>
    </w:p>
    <w:p w14:paraId="55BF620E" w14:textId="349F36CE" w:rsidR="00631860" w:rsidRPr="00631860" w:rsidRDefault="00631860" w:rsidP="00967703">
      <w:pPr>
        <w:spacing w:after="120" w:line="280" w:lineRule="auto"/>
        <w:ind w:left="709"/>
        <w:rPr>
          <w:rFonts w:ascii="Century Gothic" w:eastAsia="Arial" w:hAnsi="Century Gothic" w:cs="Arial"/>
          <w:szCs w:val="20"/>
          <w:lang w:val="en" w:eastAsia="en-AU"/>
        </w:rPr>
      </w:pPr>
      <w:r w:rsidRPr="00631860">
        <w:rPr>
          <w:rFonts w:ascii="Century Gothic" w:eastAsia="Arial" w:hAnsi="Century Gothic" w:cs="Arial"/>
          <w:b/>
          <w:szCs w:val="20"/>
          <w:lang w:val="en" w:eastAsia="en-AU"/>
        </w:rPr>
        <w:t>Pre-Approved Audit Services (Category A)</w:t>
      </w:r>
      <w:r w:rsidRPr="00631860">
        <w:rPr>
          <w:rFonts w:ascii="Century Gothic" w:eastAsia="Arial" w:hAnsi="Century Gothic" w:cs="Arial"/>
          <w:szCs w:val="20"/>
          <w:lang w:val="en" w:eastAsia="en-AU"/>
        </w:rPr>
        <w:t xml:space="preserve"> - all services set out in A</w:t>
      </w:r>
      <w:r w:rsidR="00182E21">
        <w:rPr>
          <w:rFonts w:ascii="Century Gothic" w:eastAsia="Arial" w:hAnsi="Century Gothic" w:cs="Arial"/>
          <w:szCs w:val="20"/>
          <w:lang w:val="en" w:eastAsia="en-AU"/>
        </w:rPr>
        <w:t>ppendix</w:t>
      </w:r>
      <w:r w:rsidRPr="00631860">
        <w:rPr>
          <w:rFonts w:ascii="Century Gothic" w:eastAsia="Arial" w:hAnsi="Century Gothic" w:cs="Arial"/>
          <w:szCs w:val="20"/>
          <w:lang w:val="en" w:eastAsia="en-AU"/>
        </w:rPr>
        <w:t xml:space="preserve"> A are pre-approved by the Audit Committee.</w:t>
      </w:r>
    </w:p>
    <w:p w14:paraId="2A218AFA" w14:textId="246E4267" w:rsidR="00631860" w:rsidRPr="00631860" w:rsidRDefault="00631860" w:rsidP="00967703">
      <w:pPr>
        <w:spacing w:after="120" w:line="280" w:lineRule="auto"/>
        <w:ind w:left="709"/>
        <w:rPr>
          <w:rFonts w:ascii="Century Gothic" w:eastAsia="Arial" w:hAnsi="Century Gothic" w:cs="Arial"/>
          <w:szCs w:val="20"/>
          <w:lang w:val="en" w:eastAsia="en-AU"/>
        </w:rPr>
      </w:pPr>
      <w:r w:rsidRPr="00631860">
        <w:rPr>
          <w:rFonts w:ascii="Century Gothic" w:eastAsia="Arial" w:hAnsi="Century Gothic" w:cs="Arial"/>
          <w:b/>
          <w:szCs w:val="20"/>
          <w:lang w:val="en" w:eastAsia="en-AU"/>
        </w:rPr>
        <w:t xml:space="preserve">Pre-Approved Audit-Related, Taxation Services and Other Services (Category B) </w:t>
      </w:r>
      <w:r w:rsidRPr="00631860">
        <w:rPr>
          <w:rFonts w:ascii="Century Gothic" w:eastAsia="Arial" w:hAnsi="Century Gothic" w:cs="Arial"/>
          <w:szCs w:val="20"/>
          <w:lang w:val="en" w:eastAsia="en-AU"/>
        </w:rPr>
        <w:t>- all services set out in A</w:t>
      </w:r>
      <w:r w:rsidR="00182E21">
        <w:rPr>
          <w:rFonts w:ascii="Century Gothic" w:eastAsia="Arial" w:hAnsi="Century Gothic" w:cs="Arial"/>
          <w:szCs w:val="20"/>
          <w:lang w:val="en" w:eastAsia="en-AU"/>
        </w:rPr>
        <w:t>ppendix</w:t>
      </w:r>
      <w:r w:rsidRPr="00631860">
        <w:rPr>
          <w:rFonts w:ascii="Century Gothic" w:eastAsia="Arial" w:hAnsi="Century Gothic" w:cs="Arial"/>
          <w:szCs w:val="20"/>
          <w:lang w:val="en" w:eastAsia="en-AU"/>
        </w:rPr>
        <w:t xml:space="preserve"> B are pre-approved by the Audit Committee, subject to the following limitations:</w:t>
      </w:r>
    </w:p>
    <w:p w14:paraId="63DD7521" w14:textId="1EF3EC2F" w:rsidR="00631860" w:rsidRPr="003106DF" w:rsidRDefault="00631860" w:rsidP="003106DF">
      <w:pPr>
        <w:pStyle w:val="ListParagraph"/>
        <w:numPr>
          <w:ilvl w:val="0"/>
          <w:numId w:val="36"/>
        </w:numPr>
        <w:spacing w:after="120" w:line="280" w:lineRule="auto"/>
        <w:rPr>
          <w:rFonts w:ascii="Century Gothic" w:eastAsia="Arial" w:hAnsi="Century Gothic" w:cs="Arial"/>
          <w:szCs w:val="20"/>
          <w:lang w:val="en" w:eastAsia="en-AU"/>
        </w:rPr>
      </w:pPr>
      <w:r w:rsidRPr="003106DF">
        <w:rPr>
          <w:rFonts w:ascii="Century Gothic" w:eastAsia="Arial" w:hAnsi="Century Gothic" w:cs="Arial"/>
          <w:szCs w:val="20"/>
          <w:lang w:val="en" w:eastAsia="en-AU"/>
        </w:rPr>
        <w:t xml:space="preserve">no individual engagement for services in this category </w:t>
      </w:r>
      <w:r w:rsidR="00425183">
        <w:rPr>
          <w:rFonts w:ascii="Century Gothic" w:eastAsia="Arial" w:hAnsi="Century Gothic" w:cs="Arial"/>
          <w:szCs w:val="20"/>
          <w:lang w:val="en" w:eastAsia="en-AU"/>
        </w:rPr>
        <w:t>can be approved</w:t>
      </w:r>
      <w:r w:rsidRPr="003106DF">
        <w:rPr>
          <w:rFonts w:ascii="Century Gothic" w:eastAsia="Arial" w:hAnsi="Century Gothic" w:cs="Arial"/>
          <w:szCs w:val="20"/>
          <w:lang w:val="en" w:eastAsia="en-AU"/>
        </w:rPr>
        <w:t xml:space="preserve"> (excluding GST) without the separate prior approval of the CFO </w:t>
      </w:r>
      <w:r w:rsidR="00182E21" w:rsidRPr="003106DF">
        <w:rPr>
          <w:rFonts w:ascii="Century Gothic" w:eastAsia="Arial" w:hAnsi="Century Gothic" w:cs="Arial"/>
          <w:szCs w:val="20"/>
          <w:lang w:val="en" w:eastAsia="en-AU"/>
        </w:rPr>
        <w:t>or</w:t>
      </w:r>
      <w:r w:rsidRPr="003106DF">
        <w:rPr>
          <w:rFonts w:ascii="Century Gothic" w:eastAsia="Arial" w:hAnsi="Century Gothic" w:cs="Arial"/>
          <w:szCs w:val="20"/>
          <w:lang w:val="en" w:eastAsia="en-AU"/>
        </w:rPr>
        <w:t xml:space="preserve"> Managing Director/Chief Executive Officer; and</w:t>
      </w:r>
    </w:p>
    <w:p w14:paraId="1A84EEC7" w14:textId="5F790CD8" w:rsidR="00967703" w:rsidRPr="003106DF" w:rsidRDefault="00631860" w:rsidP="003106DF">
      <w:pPr>
        <w:pStyle w:val="ListParagraph"/>
        <w:numPr>
          <w:ilvl w:val="0"/>
          <w:numId w:val="36"/>
        </w:numPr>
        <w:spacing w:after="120" w:line="280" w:lineRule="auto"/>
        <w:rPr>
          <w:rFonts w:ascii="Century Gothic" w:eastAsia="Arial" w:hAnsi="Century Gothic" w:cs="Arial"/>
          <w:szCs w:val="20"/>
          <w:lang w:val="en" w:eastAsia="en-AU"/>
        </w:rPr>
      </w:pPr>
      <w:r w:rsidRPr="003106DF">
        <w:rPr>
          <w:rFonts w:ascii="Century Gothic" w:eastAsia="Arial" w:hAnsi="Century Gothic" w:cs="Arial"/>
          <w:szCs w:val="20"/>
          <w:lang w:val="en" w:eastAsia="en-AU"/>
        </w:rPr>
        <w:t>the approval</w:t>
      </w:r>
      <w:r w:rsidR="00425183">
        <w:rPr>
          <w:rFonts w:ascii="Century Gothic" w:eastAsia="Arial" w:hAnsi="Century Gothic" w:cs="Arial"/>
          <w:szCs w:val="20"/>
          <w:lang w:val="en" w:eastAsia="en-AU"/>
        </w:rPr>
        <w:t xml:space="preserve"> from</w:t>
      </w:r>
      <w:r w:rsidRPr="003106DF">
        <w:rPr>
          <w:rFonts w:ascii="Century Gothic" w:eastAsia="Arial" w:hAnsi="Century Gothic" w:cs="Arial"/>
          <w:szCs w:val="20"/>
          <w:lang w:val="en" w:eastAsia="en-AU"/>
        </w:rPr>
        <w:t xml:space="preserve"> the Audit Committee </w:t>
      </w:r>
      <w:r w:rsidR="00425183">
        <w:rPr>
          <w:rFonts w:ascii="Century Gothic" w:eastAsia="Arial" w:hAnsi="Century Gothic" w:cs="Arial"/>
          <w:szCs w:val="20"/>
          <w:lang w:val="en" w:eastAsia="en-AU"/>
        </w:rPr>
        <w:t xml:space="preserve">Chair </w:t>
      </w:r>
      <w:r w:rsidRPr="003106DF">
        <w:rPr>
          <w:rFonts w:ascii="Century Gothic" w:eastAsia="Arial" w:hAnsi="Century Gothic" w:cs="Arial"/>
          <w:szCs w:val="20"/>
          <w:lang w:val="en" w:eastAsia="en-AU"/>
        </w:rPr>
        <w:t>is required prior to the engagement of the external auditor for services in this category in excess of $</w:t>
      </w:r>
      <w:r w:rsidR="00425183">
        <w:rPr>
          <w:rFonts w:ascii="Century Gothic" w:eastAsia="Arial" w:hAnsi="Century Gothic" w:cs="Arial"/>
          <w:szCs w:val="20"/>
          <w:lang w:val="en" w:eastAsia="en-AU"/>
        </w:rPr>
        <w:t>50,000</w:t>
      </w:r>
      <w:r w:rsidRPr="003106DF">
        <w:rPr>
          <w:rFonts w:ascii="Century Gothic" w:eastAsia="Arial" w:hAnsi="Century Gothic" w:cs="Arial"/>
          <w:szCs w:val="20"/>
          <w:lang w:val="en" w:eastAsia="en-AU"/>
        </w:rPr>
        <w:t xml:space="preserve"> (excluding GST)</w:t>
      </w:r>
      <w:r w:rsidR="006C1C28" w:rsidRPr="003106DF">
        <w:rPr>
          <w:rFonts w:ascii="Century Gothic" w:eastAsia="Arial" w:hAnsi="Century Gothic" w:cs="Arial"/>
          <w:szCs w:val="20"/>
          <w:lang w:val="en" w:eastAsia="en-AU"/>
        </w:rPr>
        <w:t>.</w:t>
      </w:r>
    </w:p>
    <w:p w14:paraId="2FF49E8F" w14:textId="77777777" w:rsidR="00371530" w:rsidRDefault="00371530" w:rsidP="00967703">
      <w:pPr>
        <w:autoSpaceDE w:val="0"/>
        <w:autoSpaceDN w:val="0"/>
        <w:adjustRightInd w:val="0"/>
        <w:ind w:left="709"/>
        <w:rPr>
          <w:rFonts w:ascii="*Calibri-Bold-5120-Identity-H" w:eastAsiaTheme="minorHAnsi" w:hAnsi="*Calibri-Bold-5120-Identity-H" w:cs="*Calibri-Bold-5120-Identity-H"/>
          <w:b/>
          <w:bCs/>
          <w:sz w:val="21"/>
          <w:szCs w:val="21"/>
        </w:rPr>
      </w:pPr>
    </w:p>
    <w:p w14:paraId="6A0AC104" w14:textId="77777777" w:rsidR="003106DF" w:rsidRDefault="003106DF" w:rsidP="00967703">
      <w:pPr>
        <w:autoSpaceDE w:val="0"/>
        <w:autoSpaceDN w:val="0"/>
        <w:adjustRightInd w:val="0"/>
        <w:ind w:left="709"/>
        <w:rPr>
          <w:rFonts w:ascii="*Calibri-Bold-5120-Identity-H" w:eastAsiaTheme="minorHAnsi" w:hAnsi="*Calibri-Bold-5120-Identity-H" w:cs="*Calibri-Bold-5120-Identity-H"/>
          <w:b/>
          <w:bCs/>
          <w:sz w:val="21"/>
          <w:szCs w:val="21"/>
        </w:rPr>
      </w:pPr>
    </w:p>
    <w:p w14:paraId="716C3F1B" w14:textId="77777777" w:rsidR="00371530" w:rsidRDefault="00371530" w:rsidP="00967703">
      <w:pPr>
        <w:autoSpaceDE w:val="0"/>
        <w:autoSpaceDN w:val="0"/>
        <w:adjustRightInd w:val="0"/>
        <w:ind w:left="709"/>
        <w:rPr>
          <w:rFonts w:ascii="*Calibri-Bold-5120-Identity-H" w:eastAsiaTheme="minorHAnsi" w:hAnsi="*Calibri-Bold-5120-Identity-H" w:cs="*Calibri-Bold-5120-Identity-H"/>
          <w:b/>
          <w:bCs/>
          <w:sz w:val="21"/>
          <w:szCs w:val="21"/>
        </w:rPr>
      </w:pPr>
    </w:p>
    <w:p w14:paraId="7133BBA9" w14:textId="77777777" w:rsidR="00371530" w:rsidRDefault="00371530" w:rsidP="00967703">
      <w:pPr>
        <w:autoSpaceDE w:val="0"/>
        <w:autoSpaceDN w:val="0"/>
        <w:adjustRightInd w:val="0"/>
        <w:ind w:left="709"/>
        <w:rPr>
          <w:rFonts w:ascii="*Calibri-Bold-5120-Identity-H" w:eastAsiaTheme="minorHAnsi" w:hAnsi="*Calibri-Bold-5120-Identity-H" w:cs="*Calibri-Bold-5120-Identity-H"/>
          <w:b/>
          <w:bCs/>
          <w:sz w:val="21"/>
          <w:szCs w:val="21"/>
        </w:rPr>
      </w:pPr>
    </w:p>
    <w:p w14:paraId="2F216F7C" w14:textId="60BDECD6" w:rsidR="00967703" w:rsidRPr="00371530" w:rsidRDefault="00967703" w:rsidP="00B34315">
      <w:pPr>
        <w:autoSpaceDE w:val="0"/>
        <w:autoSpaceDN w:val="0"/>
        <w:adjustRightInd w:val="0"/>
        <w:spacing w:after="60"/>
        <w:ind w:left="709"/>
        <w:rPr>
          <w:rFonts w:ascii="Century Gothic" w:eastAsiaTheme="minorHAnsi" w:hAnsi="Century Gothic" w:cs="*Calibri-Bold-5120-Identity-H"/>
          <w:b/>
          <w:bCs/>
          <w:szCs w:val="20"/>
        </w:rPr>
      </w:pPr>
      <w:r w:rsidRPr="00371530">
        <w:rPr>
          <w:rFonts w:ascii="Century Gothic" w:eastAsiaTheme="minorHAnsi" w:hAnsi="Century Gothic" w:cs="*Calibri-Bold-5120-Identity-H"/>
          <w:b/>
          <w:bCs/>
          <w:szCs w:val="20"/>
        </w:rPr>
        <w:t>External auditor may not provide prohibited non-audit services</w:t>
      </w:r>
    </w:p>
    <w:p w14:paraId="3A16EAD7" w14:textId="15C878F7" w:rsidR="00967703" w:rsidRPr="00967703" w:rsidRDefault="00967703" w:rsidP="00967703">
      <w:pPr>
        <w:autoSpaceDE w:val="0"/>
        <w:autoSpaceDN w:val="0"/>
        <w:adjustRightInd w:val="0"/>
        <w:ind w:left="709"/>
        <w:rPr>
          <w:rFonts w:ascii="Century Gothic" w:eastAsia="Arial" w:hAnsi="Century Gothic" w:cs="Arial"/>
          <w:szCs w:val="20"/>
          <w:lang w:val="en" w:eastAsia="en-AU"/>
        </w:rPr>
      </w:pPr>
      <w:r w:rsidRPr="00967703">
        <w:rPr>
          <w:rFonts w:ascii="Century Gothic" w:eastAsia="Arial" w:hAnsi="Century Gothic" w:cs="Arial"/>
          <w:szCs w:val="20"/>
          <w:lang w:val="en" w:eastAsia="en-AU"/>
        </w:rPr>
        <w:t>As a general rule, the external auditor may not provide any prohibited non</w:t>
      </w:r>
      <w:r>
        <w:rPr>
          <w:rFonts w:ascii="Century Gothic" w:eastAsia="Arial" w:hAnsi="Century Gothic" w:cs="Arial"/>
          <w:szCs w:val="20"/>
          <w:lang w:val="en" w:eastAsia="en-AU"/>
        </w:rPr>
        <w:t>-</w:t>
      </w:r>
      <w:r w:rsidRPr="00967703">
        <w:rPr>
          <w:rFonts w:ascii="Century Gothic" w:eastAsia="Arial" w:hAnsi="Century Gothic" w:cs="Arial"/>
          <w:szCs w:val="20"/>
          <w:lang w:val="en" w:eastAsia="en-AU"/>
        </w:rPr>
        <w:t>audit services to the company.</w:t>
      </w:r>
      <w:r>
        <w:rPr>
          <w:rFonts w:ascii="Century Gothic" w:eastAsia="Arial" w:hAnsi="Century Gothic" w:cs="Arial"/>
          <w:szCs w:val="20"/>
          <w:lang w:val="en" w:eastAsia="en-AU"/>
        </w:rPr>
        <w:t xml:space="preserve"> </w:t>
      </w:r>
      <w:r w:rsidRPr="00967703">
        <w:rPr>
          <w:rFonts w:ascii="Century Gothic" w:eastAsia="Arial" w:hAnsi="Century Gothic" w:cs="Arial"/>
          <w:szCs w:val="20"/>
          <w:lang w:val="en" w:eastAsia="en-AU"/>
        </w:rPr>
        <w:t>Unless the Audit Committee decides otherwise, the external auditor is prohibited from providing the</w:t>
      </w:r>
      <w:r>
        <w:rPr>
          <w:rFonts w:ascii="Century Gothic" w:eastAsia="Arial" w:hAnsi="Century Gothic" w:cs="Arial"/>
          <w:szCs w:val="20"/>
          <w:lang w:val="en" w:eastAsia="en-AU"/>
        </w:rPr>
        <w:t xml:space="preserve"> </w:t>
      </w:r>
      <w:r w:rsidRPr="00967703">
        <w:rPr>
          <w:rFonts w:ascii="Century Gothic" w:eastAsia="Arial" w:hAnsi="Century Gothic" w:cs="Arial"/>
          <w:szCs w:val="20"/>
          <w:lang w:val="en" w:eastAsia="en-AU"/>
        </w:rPr>
        <w:t>following services:</w:t>
      </w:r>
    </w:p>
    <w:p w14:paraId="1C3C0BEE" w14:textId="53DDB3F9"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providing appraisal, valuation and fairness </w:t>
      </w:r>
      <w:proofErr w:type="gramStart"/>
      <w:r w:rsidRPr="00967703">
        <w:rPr>
          <w:rFonts w:ascii="Century Gothic" w:eastAsia="Arial" w:hAnsi="Century Gothic" w:cs="Arial"/>
          <w:szCs w:val="20"/>
          <w:lang w:val="en" w:eastAsia="en-AU"/>
        </w:rPr>
        <w:t>opinions;</w:t>
      </w:r>
      <w:proofErr w:type="gramEnd"/>
    </w:p>
    <w:p w14:paraId="46A26A6C" w14:textId="3A421C1D"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performing internal audit </w:t>
      </w:r>
      <w:proofErr w:type="gramStart"/>
      <w:r w:rsidRPr="00967703">
        <w:rPr>
          <w:rFonts w:ascii="Century Gothic" w:eastAsia="Arial" w:hAnsi="Century Gothic" w:cs="Arial"/>
          <w:szCs w:val="20"/>
          <w:lang w:val="en" w:eastAsia="en-AU"/>
        </w:rPr>
        <w:t>services;</w:t>
      </w:r>
      <w:proofErr w:type="gramEnd"/>
    </w:p>
    <w:p w14:paraId="5FD99D94" w14:textId="3325CFC0" w:rsidR="00967703" w:rsidRPr="00145B67" w:rsidRDefault="00967703" w:rsidP="00145B67">
      <w:pPr>
        <w:pStyle w:val="ListParagraph"/>
        <w:numPr>
          <w:ilvl w:val="0"/>
          <w:numId w:val="33"/>
        </w:numPr>
        <w:autoSpaceDE w:val="0"/>
        <w:autoSpaceDN w:val="0"/>
        <w:adjustRightInd w:val="0"/>
        <w:ind w:left="1418" w:hanging="709"/>
        <w:rPr>
          <w:rFonts w:ascii="Century Gothic" w:eastAsia="Arial" w:hAnsi="Century Gothic" w:cs="Arial"/>
          <w:szCs w:val="20"/>
          <w:lang w:val="en" w:eastAsia="en-AU"/>
        </w:rPr>
      </w:pPr>
      <w:r w:rsidRPr="00145B67">
        <w:rPr>
          <w:rFonts w:ascii="Century Gothic" w:eastAsia="Arial" w:hAnsi="Century Gothic" w:cs="Arial"/>
          <w:szCs w:val="20"/>
          <w:lang w:val="en" w:eastAsia="en-AU"/>
        </w:rPr>
        <w:t>providing advice on deal structuring and related documentation</w:t>
      </w:r>
      <w:r w:rsidR="00FE7213" w:rsidRPr="00145B67">
        <w:rPr>
          <w:rFonts w:ascii="Century Gothic" w:eastAsia="Arial" w:hAnsi="Century Gothic" w:cs="Arial"/>
          <w:szCs w:val="20"/>
          <w:lang w:val="en" w:eastAsia="en-AU"/>
        </w:rPr>
        <w:t xml:space="preserve"> (excluding any tax related advice</w:t>
      </w:r>
      <w:proofErr w:type="gramStart"/>
      <w:r w:rsidR="00145B67" w:rsidRPr="00145B67">
        <w:rPr>
          <w:rFonts w:ascii="Century Gothic" w:eastAsia="Arial" w:hAnsi="Century Gothic" w:cs="Arial"/>
          <w:szCs w:val="20"/>
          <w:lang w:val="en" w:eastAsia="en-AU"/>
        </w:rPr>
        <w:t>)</w:t>
      </w:r>
      <w:r w:rsidRPr="00145B67">
        <w:rPr>
          <w:rFonts w:ascii="Century Gothic" w:eastAsia="Arial" w:hAnsi="Century Gothic" w:cs="Arial"/>
          <w:szCs w:val="20"/>
          <w:lang w:val="en" w:eastAsia="en-AU"/>
        </w:rPr>
        <w:t>;</w:t>
      </w:r>
      <w:proofErr w:type="gramEnd"/>
    </w:p>
    <w:p w14:paraId="3B6CF0C9" w14:textId="13A1464A"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providing IT systems </w:t>
      </w:r>
      <w:proofErr w:type="gramStart"/>
      <w:r w:rsidRPr="00967703">
        <w:rPr>
          <w:rFonts w:ascii="Century Gothic" w:eastAsia="Arial" w:hAnsi="Century Gothic" w:cs="Arial"/>
          <w:szCs w:val="20"/>
          <w:lang w:val="en" w:eastAsia="en-AU"/>
        </w:rPr>
        <w:t>services;</w:t>
      </w:r>
      <w:proofErr w:type="gramEnd"/>
    </w:p>
    <w:p w14:paraId="00F34A5B" w14:textId="5E4F77D0" w:rsidR="00967703" w:rsidRPr="00967703" w:rsidRDefault="00967703" w:rsidP="00967703">
      <w:pPr>
        <w:pStyle w:val="ListParagraph"/>
        <w:numPr>
          <w:ilvl w:val="0"/>
          <w:numId w:val="33"/>
        </w:numPr>
        <w:autoSpaceDE w:val="0"/>
        <w:autoSpaceDN w:val="0"/>
        <w:adjustRightInd w:val="0"/>
        <w:ind w:left="1418" w:hanging="709"/>
        <w:rPr>
          <w:rFonts w:ascii="Century Gothic" w:eastAsia="Arial" w:hAnsi="Century Gothic" w:cs="Arial"/>
          <w:szCs w:val="20"/>
          <w:lang w:val="en" w:eastAsia="en-AU"/>
        </w:rPr>
      </w:pPr>
      <w:r w:rsidRPr="00967703">
        <w:rPr>
          <w:rFonts w:ascii="Century Gothic" w:eastAsia="Arial" w:hAnsi="Century Gothic" w:cs="Arial"/>
          <w:szCs w:val="20"/>
          <w:lang w:val="en" w:eastAsia="en-AU"/>
        </w:rPr>
        <w:t>providing design or implementation services for financial information systems including internal controls over financial reporting and accounting records</w:t>
      </w:r>
    </w:p>
    <w:p w14:paraId="6EF57340" w14:textId="054C482C" w:rsidR="00967703" w:rsidRPr="00967703" w:rsidRDefault="00967703" w:rsidP="00967703">
      <w:pPr>
        <w:pStyle w:val="ListParagraph"/>
        <w:numPr>
          <w:ilvl w:val="0"/>
          <w:numId w:val="33"/>
        </w:numPr>
        <w:autoSpaceDE w:val="0"/>
        <w:autoSpaceDN w:val="0"/>
        <w:adjustRightInd w:val="0"/>
        <w:ind w:left="1418" w:hanging="709"/>
        <w:rPr>
          <w:rFonts w:ascii="Century Gothic" w:eastAsia="Arial" w:hAnsi="Century Gothic" w:cs="Arial"/>
          <w:szCs w:val="20"/>
          <w:lang w:val="en" w:eastAsia="en-AU"/>
        </w:rPr>
      </w:pPr>
      <w:r w:rsidRPr="00967703">
        <w:rPr>
          <w:rFonts w:ascii="Century Gothic" w:eastAsia="Arial" w:hAnsi="Century Gothic" w:cs="Arial"/>
          <w:szCs w:val="20"/>
          <w:lang w:val="en" w:eastAsia="en-AU"/>
        </w:rPr>
        <w:t>performing senior management, executive or director recruitment or extensive human resources</w:t>
      </w:r>
      <w:r>
        <w:rPr>
          <w:rFonts w:ascii="Century Gothic" w:eastAsia="Arial" w:hAnsi="Century Gothic" w:cs="Arial"/>
          <w:szCs w:val="20"/>
          <w:lang w:val="en" w:eastAsia="en-AU"/>
        </w:rPr>
        <w:t xml:space="preserve"> </w:t>
      </w:r>
      <w:proofErr w:type="gramStart"/>
      <w:r w:rsidRPr="00967703">
        <w:rPr>
          <w:rFonts w:ascii="Century Gothic" w:eastAsia="Arial" w:hAnsi="Century Gothic" w:cs="Arial"/>
          <w:szCs w:val="20"/>
          <w:lang w:val="en" w:eastAsia="en-AU"/>
        </w:rPr>
        <w:t>functions;</w:t>
      </w:r>
      <w:proofErr w:type="gramEnd"/>
    </w:p>
    <w:p w14:paraId="59535679" w14:textId="6CC7284E"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acting as a broker dealer, </w:t>
      </w:r>
      <w:proofErr w:type="gramStart"/>
      <w:r w:rsidRPr="00967703">
        <w:rPr>
          <w:rFonts w:ascii="Century Gothic" w:eastAsia="Arial" w:hAnsi="Century Gothic" w:cs="Arial"/>
          <w:szCs w:val="20"/>
          <w:lang w:val="en" w:eastAsia="en-AU"/>
        </w:rPr>
        <w:t>promoter</w:t>
      </w:r>
      <w:proofErr w:type="gramEnd"/>
      <w:r w:rsidRPr="00967703">
        <w:rPr>
          <w:rFonts w:ascii="Century Gothic" w:eastAsia="Arial" w:hAnsi="Century Gothic" w:cs="Arial"/>
          <w:szCs w:val="20"/>
          <w:lang w:val="en" w:eastAsia="en-AU"/>
        </w:rPr>
        <w:t xml:space="preserve"> or underwriter; or</w:t>
      </w:r>
    </w:p>
    <w:p w14:paraId="6D2937B2" w14:textId="5644F957"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providing legal services including litigation support.</w:t>
      </w:r>
    </w:p>
    <w:p w14:paraId="35D6F095" w14:textId="77777777" w:rsidR="00967703" w:rsidRDefault="00967703" w:rsidP="00967703">
      <w:pPr>
        <w:autoSpaceDE w:val="0"/>
        <w:autoSpaceDN w:val="0"/>
        <w:adjustRightInd w:val="0"/>
        <w:ind w:left="709"/>
        <w:rPr>
          <w:rFonts w:ascii="Century Gothic" w:eastAsia="Arial" w:hAnsi="Century Gothic" w:cs="Arial"/>
          <w:szCs w:val="20"/>
          <w:lang w:val="en" w:eastAsia="en-AU"/>
        </w:rPr>
      </w:pPr>
    </w:p>
    <w:p w14:paraId="03F3B6A7" w14:textId="15406332" w:rsidR="00967703" w:rsidRPr="00967703" w:rsidRDefault="00967703" w:rsidP="00967703">
      <w:pPr>
        <w:autoSpaceDE w:val="0"/>
        <w:autoSpaceDN w:val="0"/>
        <w:adjustRightInd w:val="0"/>
        <w:ind w:left="709"/>
        <w:rPr>
          <w:rFonts w:ascii="Century Gothic" w:eastAsia="Arial" w:hAnsi="Century Gothic" w:cs="Arial"/>
          <w:szCs w:val="20"/>
          <w:lang w:val="en" w:eastAsia="en-AU"/>
        </w:rPr>
      </w:pPr>
      <w:r w:rsidRPr="00967703">
        <w:rPr>
          <w:rFonts w:ascii="Century Gothic" w:eastAsia="Arial" w:hAnsi="Century Gothic" w:cs="Arial"/>
          <w:szCs w:val="20"/>
          <w:lang w:val="en" w:eastAsia="en-AU"/>
        </w:rPr>
        <w:t>However, even if a non-audit service is not listed above, it will still be prohibited if it creates a real or</w:t>
      </w:r>
      <w:r>
        <w:rPr>
          <w:rFonts w:ascii="Century Gothic" w:eastAsia="Arial" w:hAnsi="Century Gothic" w:cs="Arial"/>
          <w:szCs w:val="20"/>
          <w:lang w:val="en" w:eastAsia="en-AU"/>
        </w:rPr>
        <w:t xml:space="preserve"> </w:t>
      </w:r>
      <w:r w:rsidRPr="00967703">
        <w:rPr>
          <w:rFonts w:ascii="Century Gothic" w:eastAsia="Arial" w:hAnsi="Century Gothic" w:cs="Arial"/>
          <w:szCs w:val="20"/>
          <w:lang w:val="en" w:eastAsia="en-AU"/>
        </w:rPr>
        <w:t>perceived threat to the independence of the external auditor. In addition, services will also not be</w:t>
      </w:r>
      <w:r>
        <w:rPr>
          <w:rFonts w:ascii="Century Gothic" w:eastAsia="Arial" w:hAnsi="Century Gothic" w:cs="Arial"/>
          <w:szCs w:val="20"/>
          <w:lang w:val="en" w:eastAsia="en-AU"/>
        </w:rPr>
        <w:t xml:space="preserve"> </w:t>
      </w:r>
      <w:r w:rsidRPr="00967703">
        <w:rPr>
          <w:rFonts w:ascii="Century Gothic" w:eastAsia="Arial" w:hAnsi="Century Gothic" w:cs="Arial"/>
          <w:szCs w:val="20"/>
          <w:lang w:val="en" w:eastAsia="en-AU"/>
        </w:rPr>
        <w:t>allowed to be performed where they:</w:t>
      </w:r>
    </w:p>
    <w:p w14:paraId="630995E3" w14:textId="6AD77DF4" w:rsidR="00967703" w:rsidRPr="00967703" w:rsidRDefault="00967703" w:rsidP="00145B67">
      <w:pPr>
        <w:pStyle w:val="ListParagraph"/>
        <w:numPr>
          <w:ilvl w:val="0"/>
          <w:numId w:val="33"/>
        </w:numPr>
        <w:autoSpaceDE w:val="0"/>
        <w:autoSpaceDN w:val="0"/>
        <w:adjustRightInd w:val="0"/>
        <w:ind w:left="1418" w:hanging="709"/>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create a mutual or conflicting business, financial or other interest between </w:t>
      </w:r>
      <w:r w:rsidR="00FE7213">
        <w:rPr>
          <w:rFonts w:ascii="Century Gothic" w:eastAsia="Arial" w:hAnsi="Century Gothic" w:cs="Arial"/>
          <w:szCs w:val="20"/>
          <w:lang w:val="en" w:eastAsia="en-AU"/>
        </w:rPr>
        <w:t>Aeris</w:t>
      </w:r>
      <w:r w:rsidRPr="00967703">
        <w:rPr>
          <w:rFonts w:ascii="Century Gothic" w:eastAsia="Arial" w:hAnsi="Century Gothic" w:cs="Arial"/>
          <w:szCs w:val="20"/>
          <w:lang w:val="en" w:eastAsia="en-AU"/>
        </w:rPr>
        <w:t xml:space="preserve"> </w:t>
      </w:r>
      <w:r>
        <w:rPr>
          <w:rFonts w:ascii="Century Gothic" w:eastAsia="Arial" w:hAnsi="Century Gothic" w:cs="Arial"/>
          <w:szCs w:val="20"/>
          <w:lang w:val="en" w:eastAsia="en-AU"/>
        </w:rPr>
        <w:tab/>
      </w:r>
      <w:r>
        <w:rPr>
          <w:rFonts w:ascii="Century Gothic" w:eastAsia="Arial" w:hAnsi="Century Gothic" w:cs="Arial"/>
          <w:szCs w:val="20"/>
          <w:lang w:val="en" w:eastAsia="en-AU"/>
        </w:rPr>
        <w:tab/>
      </w:r>
      <w:r w:rsidRPr="00967703">
        <w:rPr>
          <w:rFonts w:ascii="Century Gothic" w:eastAsia="Arial" w:hAnsi="Century Gothic" w:cs="Arial"/>
          <w:szCs w:val="20"/>
          <w:lang w:val="en" w:eastAsia="en-AU"/>
        </w:rPr>
        <w:t xml:space="preserve">and the external </w:t>
      </w:r>
      <w:proofErr w:type="gramStart"/>
      <w:r w:rsidRPr="00967703">
        <w:rPr>
          <w:rFonts w:ascii="Century Gothic" w:eastAsia="Arial" w:hAnsi="Century Gothic" w:cs="Arial"/>
          <w:szCs w:val="20"/>
          <w:lang w:val="en" w:eastAsia="en-AU"/>
        </w:rPr>
        <w:t>auditor;</w:t>
      </w:r>
      <w:proofErr w:type="gramEnd"/>
    </w:p>
    <w:p w14:paraId="6069C0D2" w14:textId="56343869"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result in the external auditor auditing its own </w:t>
      </w:r>
      <w:proofErr w:type="gramStart"/>
      <w:r w:rsidRPr="00967703">
        <w:rPr>
          <w:rFonts w:ascii="Century Gothic" w:eastAsia="Arial" w:hAnsi="Century Gothic" w:cs="Arial"/>
          <w:szCs w:val="20"/>
          <w:lang w:val="en" w:eastAsia="en-AU"/>
        </w:rPr>
        <w:t>work;</w:t>
      </w:r>
      <w:proofErr w:type="gramEnd"/>
    </w:p>
    <w:p w14:paraId="17E52236" w14:textId="4ED9BD50" w:rsidR="00967703" w:rsidRPr="00967703" w:rsidRDefault="00967703" w:rsidP="00145B67">
      <w:pPr>
        <w:pStyle w:val="ListParagraph"/>
        <w:numPr>
          <w:ilvl w:val="0"/>
          <w:numId w:val="33"/>
        </w:numPr>
        <w:autoSpaceDE w:val="0"/>
        <w:autoSpaceDN w:val="0"/>
        <w:adjustRightInd w:val="0"/>
        <w:ind w:left="1418" w:hanging="709"/>
        <w:rPr>
          <w:rFonts w:ascii="Century Gothic" w:eastAsia="Arial" w:hAnsi="Century Gothic" w:cs="Arial"/>
          <w:szCs w:val="20"/>
          <w:lang w:val="en" w:eastAsia="en-AU"/>
        </w:rPr>
      </w:pPr>
      <w:r w:rsidRPr="00967703">
        <w:rPr>
          <w:rFonts w:ascii="Century Gothic" w:eastAsia="Arial" w:hAnsi="Century Gothic" w:cs="Arial"/>
          <w:szCs w:val="20"/>
          <w:lang w:val="en" w:eastAsia="en-AU"/>
        </w:rPr>
        <w:t>result in the external auditor performing management functions (</w:t>
      </w:r>
      <w:proofErr w:type="spellStart"/>
      <w:proofErr w:type="gramStart"/>
      <w:r w:rsidRPr="00967703">
        <w:rPr>
          <w:rFonts w:ascii="Century Gothic" w:eastAsia="Arial" w:hAnsi="Century Gothic" w:cs="Arial"/>
          <w:szCs w:val="20"/>
          <w:lang w:val="en" w:eastAsia="en-AU"/>
        </w:rPr>
        <w:t>eg</w:t>
      </w:r>
      <w:proofErr w:type="spellEnd"/>
      <w:proofErr w:type="gramEnd"/>
      <w:r w:rsidRPr="00967703">
        <w:rPr>
          <w:rFonts w:ascii="Century Gothic" w:eastAsia="Arial" w:hAnsi="Century Gothic" w:cs="Arial"/>
          <w:szCs w:val="20"/>
          <w:lang w:val="en" w:eastAsia="en-AU"/>
        </w:rPr>
        <w:t xml:space="preserve"> bookkeeping or preparation of financial statements) or acting as an employee (including secondment arrangements);</w:t>
      </w:r>
    </w:p>
    <w:p w14:paraId="4C5E210C" w14:textId="014B714E" w:rsidR="00967703" w:rsidRPr="00967703" w:rsidRDefault="00967703" w:rsidP="00967703">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place the external auditor in a position of acting as an advocate for </w:t>
      </w:r>
      <w:r w:rsidR="00FE7213">
        <w:rPr>
          <w:rFonts w:ascii="Century Gothic" w:eastAsia="Arial" w:hAnsi="Century Gothic" w:cs="Arial"/>
          <w:szCs w:val="20"/>
          <w:lang w:val="en" w:eastAsia="en-AU"/>
        </w:rPr>
        <w:t>Aeris</w:t>
      </w:r>
      <w:r w:rsidRPr="00967703">
        <w:rPr>
          <w:rFonts w:ascii="Century Gothic" w:eastAsia="Arial" w:hAnsi="Century Gothic" w:cs="Arial"/>
          <w:szCs w:val="20"/>
          <w:lang w:val="en" w:eastAsia="en-AU"/>
        </w:rPr>
        <w:t>; or</w:t>
      </w:r>
    </w:p>
    <w:p w14:paraId="03334A07" w14:textId="6F3CC3EF" w:rsidR="00967703" w:rsidRPr="00967703" w:rsidRDefault="00967703" w:rsidP="00145B67">
      <w:pPr>
        <w:pStyle w:val="ListParagraph"/>
        <w:numPr>
          <w:ilvl w:val="0"/>
          <w:numId w:val="33"/>
        </w:numPr>
        <w:autoSpaceDE w:val="0"/>
        <w:autoSpaceDN w:val="0"/>
        <w:adjustRightInd w:val="0"/>
        <w:ind w:left="709" w:firstLine="0"/>
        <w:rPr>
          <w:rFonts w:ascii="Century Gothic" w:eastAsia="Arial" w:hAnsi="Century Gothic" w:cs="Arial"/>
          <w:szCs w:val="20"/>
          <w:lang w:val="en" w:eastAsia="en-AU"/>
        </w:rPr>
      </w:pPr>
      <w:r w:rsidRPr="00967703">
        <w:rPr>
          <w:rFonts w:ascii="Century Gothic" w:eastAsia="Arial" w:hAnsi="Century Gothic" w:cs="Arial"/>
          <w:szCs w:val="20"/>
          <w:lang w:val="en" w:eastAsia="en-AU"/>
        </w:rPr>
        <w:t xml:space="preserve">involve the payment of a contingency fee, </w:t>
      </w:r>
      <w:proofErr w:type="gramStart"/>
      <w:r w:rsidRPr="00967703">
        <w:rPr>
          <w:rFonts w:ascii="Century Gothic" w:eastAsia="Arial" w:hAnsi="Century Gothic" w:cs="Arial"/>
          <w:szCs w:val="20"/>
          <w:lang w:val="en" w:eastAsia="en-AU"/>
        </w:rPr>
        <w:t>commission</w:t>
      </w:r>
      <w:proofErr w:type="gramEnd"/>
      <w:r w:rsidRPr="00967703">
        <w:rPr>
          <w:rFonts w:ascii="Century Gothic" w:eastAsia="Arial" w:hAnsi="Century Gothic" w:cs="Arial"/>
          <w:szCs w:val="20"/>
          <w:lang w:val="en" w:eastAsia="en-AU"/>
        </w:rPr>
        <w:t xml:space="preserve"> or success fee.</w:t>
      </w:r>
    </w:p>
    <w:p w14:paraId="1D9CACDA" w14:textId="32E4043B"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2.2</w:t>
      </w:r>
      <w:r w:rsidRPr="00631860">
        <w:rPr>
          <w:rFonts w:ascii="Century Gothic" w:eastAsia="Arial" w:hAnsi="Century Gothic" w:cs="Arial"/>
          <w:szCs w:val="20"/>
          <w:lang w:val="en" w:eastAsia="en-AU"/>
        </w:rPr>
        <w:tab/>
        <w:t>The specific approval of the Audit Committee is required before the external auditor is engaged to provide any services which are not within the pre-approv</w:t>
      </w:r>
      <w:r w:rsidR="00182E21">
        <w:rPr>
          <w:rFonts w:ascii="Century Gothic" w:eastAsia="Arial" w:hAnsi="Century Gothic" w:cs="Arial"/>
          <w:szCs w:val="20"/>
          <w:lang w:val="en" w:eastAsia="en-AU"/>
        </w:rPr>
        <w:t>ed list of engagements</w:t>
      </w:r>
      <w:r w:rsidRPr="00631860">
        <w:rPr>
          <w:rFonts w:ascii="Century Gothic" w:eastAsia="Arial" w:hAnsi="Century Gothic" w:cs="Arial"/>
          <w:szCs w:val="20"/>
          <w:lang w:val="en" w:eastAsia="en-AU"/>
        </w:rPr>
        <w:t xml:space="preserve"> or delegations set out above.</w:t>
      </w:r>
    </w:p>
    <w:p w14:paraId="1E9FD760" w14:textId="3C99F28D"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2.3</w:t>
      </w:r>
      <w:r w:rsidRPr="00631860">
        <w:rPr>
          <w:rFonts w:ascii="Century Gothic" w:eastAsia="Arial" w:hAnsi="Century Gothic" w:cs="Arial"/>
          <w:szCs w:val="20"/>
          <w:lang w:val="en" w:eastAsia="en-AU"/>
        </w:rPr>
        <w:tab/>
        <w:t>The approval process will be coordinated through the Chief Financial Officer</w:t>
      </w:r>
      <w:r w:rsidR="00182E21">
        <w:rPr>
          <w:rFonts w:ascii="Century Gothic" w:eastAsia="Arial" w:hAnsi="Century Gothic" w:cs="Arial"/>
          <w:szCs w:val="20"/>
          <w:lang w:val="en" w:eastAsia="en-AU"/>
        </w:rPr>
        <w:t xml:space="preserve"> or GM Finance</w:t>
      </w:r>
      <w:r w:rsidRPr="00631860">
        <w:rPr>
          <w:rFonts w:ascii="Century Gothic" w:eastAsia="Arial" w:hAnsi="Century Gothic" w:cs="Arial"/>
          <w:szCs w:val="20"/>
          <w:lang w:val="en" w:eastAsia="en-AU"/>
        </w:rPr>
        <w:t>.</w:t>
      </w:r>
    </w:p>
    <w:p w14:paraId="75164FD8" w14:textId="77777777"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2.4</w:t>
      </w:r>
      <w:r w:rsidRPr="00631860">
        <w:rPr>
          <w:rFonts w:ascii="Century Gothic" w:eastAsia="Arial" w:hAnsi="Century Gothic" w:cs="Arial"/>
          <w:szCs w:val="20"/>
          <w:lang w:val="en" w:eastAsia="en-AU"/>
        </w:rPr>
        <w:tab/>
        <w:t>During the transition of external auditors there may be services that would ordinarily be prohibited under this policy that commenced prior to the change in appointment of the external auditor. The Audit Committee may, subject to ensuring auditor independence in accordance with applicable laws and regulations, pre-approve the continuation of these services during the transitional resignation or appointment period.</w:t>
      </w:r>
    </w:p>
    <w:p w14:paraId="740206BB" w14:textId="77777777" w:rsidR="00631860" w:rsidRPr="00631860" w:rsidRDefault="00631860" w:rsidP="00631860">
      <w:pPr>
        <w:keepNext/>
        <w:keepLines/>
        <w:spacing w:before="360" w:after="120" w:line="280" w:lineRule="auto"/>
        <w:outlineLvl w:val="1"/>
        <w:rPr>
          <w:rFonts w:ascii="Century Gothic" w:eastAsia="Arial" w:hAnsi="Century Gothic" w:cs="Arial"/>
          <w:sz w:val="32"/>
          <w:szCs w:val="32"/>
          <w:lang w:val="en" w:eastAsia="en-AU"/>
        </w:rPr>
      </w:pPr>
      <w:bookmarkStart w:id="2" w:name="_Toc137643332"/>
      <w:r w:rsidRPr="00631860">
        <w:rPr>
          <w:rFonts w:eastAsia="Arial" w:cs="Arial"/>
          <w:sz w:val="32"/>
          <w:szCs w:val="32"/>
          <w:lang w:val="en" w:eastAsia="en-AU"/>
        </w:rPr>
        <w:t>3.</w:t>
      </w:r>
      <w:r w:rsidRPr="00631860">
        <w:rPr>
          <w:rFonts w:eastAsia="Arial" w:cs="Arial"/>
          <w:sz w:val="32"/>
          <w:szCs w:val="32"/>
          <w:lang w:val="en" w:eastAsia="en-AU"/>
        </w:rPr>
        <w:tab/>
      </w:r>
      <w:r w:rsidRPr="00C12FD6">
        <w:rPr>
          <w:rFonts w:ascii="Century Gothic" w:eastAsia="Arial" w:hAnsi="Century Gothic" w:cs="Arial"/>
          <w:b/>
          <w:bCs/>
          <w:sz w:val="32"/>
          <w:szCs w:val="32"/>
          <w:lang w:val="en" w:eastAsia="en-AU"/>
        </w:rPr>
        <w:t>Responsibilities and Accountabilities</w:t>
      </w:r>
      <w:bookmarkEnd w:id="2"/>
    </w:p>
    <w:p w14:paraId="0CC9181E" w14:textId="77777777" w:rsidR="00631860" w:rsidRPr="00631860" w:rsidRDefault="00631860" w:rsidP="00631860">
      <w:pPr>
        <w:spacing w:after="120" w:line="280" w:lineRule="auto"/>
        <w:rPr>
          <w:rFonts w:ascii="Century Gothic" w:eastAsia="Arial" w:hAnsi="Century Gothic" w:cs="Arial"/>
          <w:szCs w:val="20"/>
          <w:lang w:val="en" w:eastAsia="en-AU"/>
        </w:rPr>
      </w:pPr>
      <w:r w:rsidRPr="00631860">
        <w:rPr>
          <w:rFonts w:eastAsia="Arial" w:cs="Arial"/>
          <w:szCs w:val="20"/>
          <w:lang w:val="en" w:eastAsia="en-AU"/>
        </w:rPr>
        <w:t>3.1</w:t>
      </w:r>
      <w:r w:rsidRPr="00631860">
        <w:rPr>
          <w:rFonts w:eastAsia="Arial" w:cs="Arial"/>
          <w:szCs w:val="20"/>
          <w:lang w:val="en" w:eastAsia="en-AU"/>
        </w:rPr>
        <w:tab/>
      </w:r>
      <w:r w:rsidRPr="00631860">
        <w:rPr>
          <w:rFonts w:ascii="Century Gothic" w:eastAsia="Arial" w:hAnsi="Century Gothic" w:cs="Arial"/>
          <w:szCs w:val="20"/>
          <w:lang w:val="en" w:eastAsia="en-AU"/>
        </w:rPr>
        <w:t>The Approval process of individual engagements within Category B are as follows:</w:t>
      </w:r>
    </w:p>
    <w:p w14:paraId="19AEE4D5" w14:textId="3C7BC41A"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3.2</w:t>
      </w:r>
      <w:r w:rsidRPr="00631860">
        <w:rPr>
          <w:rFonts w:ascii="Century Gothic" w:eastAsia="Arial" w:hAnsi="Century Gothic" w:cs="Arial"/>
          <w:szCs w:val="20"/>
          <w:lang w:val="en" w:eastAsia="en-AU"/>
        </w:rPr>
        <w:tab/>
      </w:r>
      <w:r w:rsidR="00967703">
        <w:rPr>
          <w:rFonts w:ascii="Century Gothic" w:eastAsia="Arial" w:hAnsi="Century Gothic" w:cs="Arial"/>
          <w:szCs w:val="20"/>
          <w:lang w:val="en" w:eastAsia="en-AU"/>
        </w:rPr>
        <w:t>The delegated employee</w:t>
      </w:r>
      <w:r w:rsidRPr="00631860">
        <w:rPr>
          <w:rFonts w:ascii="Century Gothic" w:eastAsia="Arial" w:hAnsi="Century Gothic" w:cs="Arial"/>
          <w:szCs w:val="20"/>
          <w:lang w:val="en" w:eastAsia="en-AU"/>
        </w:rPr>
        <w:t xml:space="preserve"> engaging the external auditor is responsible for negotiating with the external auditor terms and conditions for the work that is to be undertaken. </w:t>
      </w:r>
      <w:r w:rsidR="00967703">
        <w:rPr>
          <w:rFonts w:ascii="Century Gothic" w:eastAsia="Arial" w:hAnsi="Century Gothic" w:cs="Arial"/>
          <w:szCs w:val="20"/>
          <w:lang w:val="en" w:eastAsia="en-AU"/>
        </w:rPr>
        <w:t>GM Finance will</w:t>
      </w:r>
      <w:r w:rsidRPr="00631860">
        <w:rPr>
          <w:rFonts w:ascii="Century Gothic" w:eastAsia="Arial" w:hAnsi="Century Gothic" w:cs="Arial"/>
          <w:szCs w:val="20"/>
          <w:lang w:val="en" w:eastAsia="en-AU"/>
        </w:rPr>
        <w:t xml:space="preserve"> approve the “</w:t>
      </w:r>
      <w:r w:rsidRPr="00967703">
        <w:rPr>
          <w:rFonts w:ascii="Century Gothic" w:eastAsia="Arial" w:hAnsi="Century Gothic" w:cs="Arial"/>
          <w:szCs w:val="20"/>
          <w:lang w:val="en" w:eastAsia="en-AU"/>
        </w:rPr>
        <w:t>Request to Engage PwC”</w:t>
      </w:r>
      <w:r w:rsidRPr="00631860">
        <w:rPr>
          <w:rFonts w:ascii="Century Gothic" w:eastAsia="Arial" w:hAnsi="Century Gothic" w:cs="Arial"/>
          <w:szCs w:val="20"/>
          <w:lang w:val="en" w:eastAsia="en-AU"/>
        </w:rPr>
        <w:t xml:space="preserve"> form submitted by </w:t>
      </w:r>
      <w:r w:rsidR="00967703">
        <w:rPr>
          <w:rFonts w:ascii="Century Gothic" w:eastAsia="Arial" w:hAnsi="Century Gothic" w:cs="Arial"/>
          <w:szCs w:val="20"/>
          <w:lang w:val="en" w:eastAsia="en-AU"/>
        </w:rPr>
        <w:t>the delegated employee</w:t>
      </w:r>
      <w:r w:rsidR="00967703" w:rsidRPr="00631860">
        <w:rPr>
          <w:rFonts w:ascii="Century Gothic" w:eastAsia="Arial" w:hAnsi="Century Gothic" w:cs="Arial"/>
          <w:szCs w:val="20"/>
          <w:lang w:val="en" w:eastAsia="en-AU"/>
        </w:rPr>
        <w:t xml:space="preserve"> and</w:t>
      </w:r>
      <w:r w:rsidRPr="00631860">
        <w:rPr>
          <w:rFonts w:ascii="Century Gothic" w:eastAsia="Arial" w:hAnsi="Century Gothic" w:cs="Arial"/>
          <w:szCs w:val="20"/>
          <w:lang w:val="en" w:eastAsia="en-AU"/>
        </w:rPr>
        <w:t xml:space="preserve"> provide to the Chief Financial Officer.</w:t>
      </w:r>
    </w:p>
    <w:p w14:paraId="658D801D" w14:textId="73E3E1A6"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3.3</w:t>
      </w:r>
      <w:r w:rsidRPr="00631860">
        <w:rPr>
          <w:rFonts w:ascii="Century Gothic" w:eastAsia="Arial" w:hAnsi="Century Gothic" w:cs="Arial"/>
          <w:szCs w:val="20"/>
          <w:lang w:val="en" w:eastAsia="en-AU"/>
        </w:rPr>
        <w:tab/>
        <w:t>The Chief Financial Officer is required to ensure that any approvals required by the executive team or Audit Committee are received</w:t>
      </w:r>
      <w:r w:rsidR="00967703">
        <w:rPr>
          <w:rFonts w:ascii="Century Gothic" w:eastAsia="Arial" w:hAnsi="Century Gothic" w:cs="Arial"/>
          <w:szCs w:val="20"/>
          <w:lang w:val="en" w:eastAsia="en-AU"/>
        </w:rPr>
        <w:t xml:space="preserve"> before signing the engagement letter with the external auditors</w:t>
      </w:r>
      <w:r w:rsidRPr="00631860">
        <w:rPr>
          <w:rFonts w:ascii="Century Gothic" w:eastAsia="Arial" w:hAnsi="Century Gothic" w:cs="Arial"/>
          <w:szCs w:val="20"/>
          <w:lang w:val="en" w:eastAsia="en-AU"/>
        </w:rPr>
        <w:t>.</w:t>
      </w:r>
    </w:p>
    <w:p w14:paraId="0078D658" w14:textId="77777777" w:rsidR="00631860" w:rsidRPr="00631860" w:rsidRDefault="00631860" w:rsidP="00631860">
      <w:pPr>
        <w:keepNext/>
        <w:keepLines/>
        <w:spacing w:before="360" w:after="120" w:line="280" w:lineRule="auto"/>
        <w:outlineLvl w:val="1"/>
        <w:rPr>
          <w:rFonts w:ascii="Century Gothic" w:eastAsia="Arial" w:hAnsi="Century Gothic" w:cs="Arial"/>
          <w:sz w:val="32"/>
          <w:szCs w:val="32"/>
          <w:lang w:val="en" w:eastAsia="en-AU"/>
        </w:rPr>
      </w:pPr>
      <w:bookmarkStart w:id="3" w:name="_Toc137643333"/>
      <w:r w:rsidRPr="00631860">
        <w:rPr>
          <w:rFonts w:eastAsia="Arial" w:cs="Arial"/>
          <w:sz w:val="32"/>
          <w:szCs w:val="32"/>
          <w:lang w:val="en" w:eastAsia="en-AU"/>
        </w:rPr>
        <w:lastRenderedPageBreak/>
        <w:t>4.</w:t>
      </w:r>
      <w:r w:rsidRPr="00631860">
        <w:rPr>
          <w:rFonts w:eastAsia="Arial" w:cs="Arial"/>
          <w:sz w:val="32"/>
          <w:szCs w:val="32"/>
          <w:lang w:val="en" w:eastAsia="en-AU"/>
        </w:rPr>
        <w:tab/>
      </w:r>
      <w:r w:rsidRPr="00C12FD6">
        <w:rPr>
          <w:rFonts w:ascii="Century Gothic" w:eastAsia="Arial" w:hAnsi="Century Gothic" w:cs="Arial"/>
          <w:b/>
          <w:bCs/>
          <w:sz w:val="32"/>
          <w:szCs w:val="32"/>
          <w:lang w:val="en" w:eastAsia="en-AU"/>
        </w:rPr>
        <w:t>Recording and Reporting</w:t>
      </w:r>
      <w:bookmarkEnd w:id="3"/>
    </w:p>
    <w:p w14:paraId="36C3A079" w14:textId="77777777"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4.1</w:t>
      </w:r>
      <w:r w:rsidRPr="00631860">
        <w:rPr>
          <w:rFonts w:ascii="Century Gothic" w:eastAsia="Arial" w:hAnsi="Century Gothic" w:cs="Arial"/>
          <w:szCs w:val="20"/>
          <w:lang w:val="en" w:eastAsia="en-AU"/>
        </w:rPr>
        <w:tab/>
        <w:t>The Chief Financial Officer is responsible for monitoring the services provided by the external auditor. A report in relation to the external auditor's services, will be provided to the Audit Committee twice a year.</w:t>
      </w:r>
    </w:p>
    <w:p w14:paraId="09F005C6" w14:textId="7BB2ED09"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4.2</w:t>
      </w:r>
      <w:r w:rsidRPr="00631860">
        <w:rPr>
          <w:rFonts w:ascii="Century Gothic" w:eastAsia="Arial" w:hAnsi="Century Gothic" w:cs="Arial"/>
          <w:szCs w:val="20"/>
          <w:lang w:val="en" w:eastAsia="en-AU"/>
        </w:rPr>
        <w:tab/>
        <w:t xml:space="preserve">The external auditor will also report to the Audit Committee on an annual basis regarding the audit and non-audit services it is providing, including the status of such services and the effect of providing those services on </w:t>
      </w:r>
      <w:r w:rsidR="00967703">
        <w:rPr>
          <w:rFonts w:ascii="Century Gothic" w:eastAsia="Arial" w:hAnsi="Century Gothic" w:cs="Arial"/>
          <w:szCs w:val="20"/>
          <w:lang w:val="en" w:eastAsia="en-AU"/>
        </w:rPr>
        <w:t>their</w:t>
      </w:r>
      <w:r w:rsidRPr="00631860">
        <w:rPr>
          <w:rFonts w:ascii="Century Gothic" w:eastAsia="Arial" w:hAnsi="Century Gothic" w:cs="Arial"/>
          <w:szCs w:val="20"/>
          <w:lang w:val="en" w:eastAsia="en-AU"/>
        </w:rPr>
        <w:t xml:space="preserve"> independence</w:t>
      </w:r>
      <w:r w:rsidR="00967703">
        <w:rPr>
          <w:rFonts w:ascii="Century Gothic" w:eastAsia="Arial" w:hAnsi="Century Gothic" w:cs="Arial"/>
          <w:szCs w:val="20"/>
          <w:lang w:val="en" w:eastAsia="en-AU"/>
        </w:rPr>
        <w:t xml:space="preserve"> obligation</w:t>
      </w:r>
      <w:r w:rsidRPr="00631860">
        <w:rPr>
          <w:rFonts w:ascii="Century Gothic" w:eastAsia="Arial" w:hAnsi="Century Gothic" w:cs="Arial"/>
          <w:szCs w:val="20"/>
          <w:lang w:val="en" w:eastAsia="en-AU"/>
        </w:rPr>
        <w:t xml:space="preserve">. In preparing the annual independence letter to the Audit Committee, the external auditor will obtain internal clearance from its independence office on compliance with the applicable independence rules in relation to </w:t>
      </w:r>
      <w:r w:rsidR="00967703">
        <w:rPr>
          <w:rFonts w:ascii="Century Gothic" w:eastAsia="Arial" w:hAnsi="Century Gothic" w:cs="Arial"/>
          <w:szCs w:val="20"/>
          <w:lang w:val="en" w:eastAsia="en-AU"/>
        </w:rPr>
        <w:t xml:space="preserve">all the </w:t>
      </w:r>
      <w:r w:rsidRPr="00631860">
        <w:rPr>
          <w:rFonts w:ascii="Century Gothic" w:eastAsia="Arial" w:hAnsi="Century Gothic" w:cs="Arial"/>
          <w:szCs w:val="20"/>
          <w:lang w:val="en" w:eastAsia="en-AU"/>
        </w:rPr>
        <w:t>services approved</w:t>
      </w:r>
      <w:r w:rsidR="00967703">
        <w:rPr>
          <w:rFonts w:ascii="Century Gothic" w:eastAsia="Arial" w:hAnsi="Century Gothic" w:cs="Arial"/>
          <w:szCs w:val="20"/>
          <w:lang w:val="en" w:eastAsia="en-AU"/>
        </w:rPr>
        <w:t xml:space="preserve"> and provided during the financial year</w:t>
      </w:r>
      <w:r w:rsidRPr="00631860">
        <w:rPr>
          <w:rFonts w:ascii="Century Gothic" w:eastAsia="Arial" w:hAnsi="Century Gothic" w:cs="Arial"/>
          <w:szCs w:val="20"/>
          <w:lang w:val="en" w:eastAsia="en-AU"/>
        </w:rPr>
        <w:t>.</w:t>
      </w:r>
    </w:p>
    <w:p w14:paraId="581A2444" w14:textId="77777777" w:rsidR="00631860" w:rsidRPr="00C12FD6" w:rsidRDefault="00631860" w:rsidP="00631860">
      <w:pPr>
        <w:keepNext/>
        <w:keepLines/>
        <w:spacing w:before="360" w:after="120" w:line="280" w:lineRule="auto"/>
        <w:outlineLvl w:val="1"/>
        <w:rPr>
          <w:rFonts w:ascii="Century Gothic" w:eastAsia="Arial" w:hAnsi="Century Gothic" w:cs="Arial"/>
          <w:b/>
          <w:bCs/>
          <w:sz w:val="32"/>
          <w:szCs w:val="32"/>
          <w:lang w:val="en" w:eastAsia="en-AU"/>
        </w:rPr>
      </w:pPr>
      <w:bookmarkStart w:id="4" w:name="_Toc137643334"/>
      <w:r w:rsidRPr="00631860">
        <w:rPr>
          <w:rFonts w:eastAsia="Arial" w:cs="Arial"/>
          <w:sz w:val="32"/>
          <w:szCs w:val="32"/>
          <w:lang w:val="en" w:eastAsia="en-AU"/>
        </w:rPr>
        <w:t>5.</w:t>
      </w:r>
      <w:r w:rsidRPr="00631860">
        <w:rPr>
          <w:rFonts w:eastAsia="Arial" w:cs="Arial"/>
          <w:sz w:val="32"/>
          <w:szCs w:val="32"/>
          <w:lang w:val="en" w:eastAsia="en-AU"/>
        </w:rPr>
        <w:tab/>
      </w:r>
      <w:r w:rsidRPr="00C12FD6">
        <w:rPr>
          <w:rFonts w:ascii="Century Gothic" w:eastAsia="Arial" w:hAnsi="Century Gothic" w:cs="Arial"/>
          <w:b/>
          <w:bCs/>
          <w:sz w:val="32"/>
          <w:szCs w:val="32"/>
          <w:lang w:val="en" w:eastAsia="en-AU"/>
        </w:rPr>
        <w:t>Interpretation</w:t>
      </w:r>
      <w:bookmarkEnd w:id="4"/>
    </w:p>
    <w:p w14:paraId="7DEE2C67" w14:textId="77777777"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5.1</w:t>
      </w:r>
      <w:r w:rsidRPr="00631860">
        <w:rPr>
          <w:rFonts w:ascii="Century Gothic" w:eastAsia="Arial" w:hAnsi="Century Gothic" w:cs="Arial"/>
          <w:b/>
          <w:szCs w:val="20"/>
          <w:lang w:val="en" w:eastAsia="en-AU"/>
        </w:rPr>
        <w:tab/>
        <w:t>“Control</w:t>
      </w:r>
      <w:r w:rsidRPr="00631860">
        <w:rPr>
          <w:rFonts w:ascii="Century Gothic" w:eastAsia="Arial" w:hAnsi="Century Gothic" w:cs="Arial"/>
          <w:szCs w:val="20"/>
          <w:lang w:val="en" w:eastAsia="en-AU"/>
        </w:rPr>
        <w:t>” generally means, with respect to a particular entity, when the entity is exposed, or has rights, to variable returns from its involvement with the investee and has the ability to affect those returns through its power over the investee.</w:t>
      </w:r>
    </w:p>
    <w:p w14:paraId="352A543E" w14:textId="77777777"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5.2</w:t>
      </w:r>
      <w:r w:rsidRPr="00631860">
        <w:rPr>
          <w:rFonts w:ascii="Century Gothic" w:eastAsia="Arial" w:hAnsi="Century Gothic" w:cs="Arial"/>
          <w:szCs w:val="20"/>
          <w:lang w:val="en" w:eastAsia="en-AU"/>
        </w:rPr>
        <w:tab/>
      </w:r>
      <w:r w:rsidRPr="00631860">
        <w:rPr>
          <w:rFonts w:ascii="Century Gothic" w:eastAsia="Arial" w:hAnsi="Century Gothic" w:cs="Arial"/>
          <w:b/>
          <w:szCs w:val="20"/>
          <w:lang w:val="en" w:eastAsia="en-AU"/>
        </w:rPr>
        <w:t xml:space="preserve">“Group” </w:t>
      </w:r>
      <w:r w:rsidRPr="00631860">
        <w:rPr>
          <w:rFonts w:ascii="Century Gothic" w:eastAsia="Arial" w:hAnsi="Century Gothic" w:cs="Arial"/>
          <w:szCs w:val="20"/>
          <w:lang w:val="en" w:eastAsia="en-AU"/>
        </w:rPr>
        <w:t>means Aeris Resources Ltd and its controlled entities.</w:t>
      </w:r>
    </w:p>
    <w:p w14:paraId="33EEACDC" w14:textId="064FEB6B" w:rsidR="00631860" w:rsidRPr="00631860" w:rsidRDefault="00631860" w:rsidP="00631860">
      <w:pPr>
        <w:spacing w:after="120" w:line="280" w:lineRule="auto"/>
        <w:ind w:left="720" w:hanging="720"/>
        <w:rPr>
          <w:rFonts w:ascii="Century Gothic" w:eastAsia="Arial" w:hAnsi="Century Gothic" w:cs="Arial"/>
          <w:szCs w:val="20"/>
          <w:lang w:val="en" w:eastAsia="en-AU"/>
        </w:rPr>
      </w:pPr>
      <w:r w:rsidRPr="00631860">
        <w:rPr>
          <w:rFonts w:ascii="Century Gothic" w:eastAsia="Arial" w:hAnsi="Century Gothic" w:cs="Arial"/>
          <w:szCs w:val="20"/>
          <w:lang w:val="en" w:eastAsia="en-AU"/>
        </w:rPr>
        <w:t>5.3</w:t>
      </w:r>
      <w:r w:rsidRPr="00631860">
        <w:rPr>
          <w:rFonts w:ascii="Century Gothic" w:eastAsia="Arial" w:hAnsi="Century Gothic" w:cs="Arial"/>
          <w:szCs w:val="20"/>
          <w:lang w:val="en" w:eastAsia="en-AU"/>
        </w:rPr>
        <w:tab/>
      </w:r>
      <w:r w:rsidRPr="00631860">
        <w:rPr>
          <w:rFonts w:ascii="Century Gothic" w:eastAsia="Arial" w:hAnsi="Century Gothic" w:cs="Arial"/>
          <w:b/>
          <w:szCs w:val="20"/>
          <w:lang w:val="en" w:eastAsia="en-AU"/>
        </w:rPr>
        <w:t>“Significant Influence”</w:t>
      </w:r>
      <w:r w:rsidRPr="00631860">
        <w:rPr>
          <w:rFonts w:ascii="Century Gothic" w:eastAsia="Arial" w:hAnsi="Century Gothic" w:cs="Arial"/>
          <w:szCs w:val="20"/>
          <w:lang w:val="en" w:eastAsia="en-AU"/>
        </w:rPr>
        <w:t xml:space="preserve"> means the power to participate in </w:t>
      </w:r>
      <w:r w:rsidR="00C90ADF" w:rsidRPr="00631860">
        <w:rPr>
          <w:rFonts w:ascii="Century Gothic" w:eastAsia="Arial" w:hAnsi="Century Gothic" w:cs="Arial"/>
          <w:szCs w:val="20"/>
          <w:lang w:val="en" w:eastAsia="en-AU"/>
        </w:rPr>
        <w:t>financial</w:t>
      </w:r>
      <w:r w:rsidRPr="00631860">
        <w:rPr>
          <w:rFonts w:ascii="Century Gothic" w:eastAsia="Arial" w:hAnsi="Century Gothic" w:cs="Arial"/>
          <w:szCs w:val="20"/>
          <w:lang w:val="en" w:eastAsia="en-AU"/>
        </w:rPr>
        <w:t xml:space="preserve"> and operating policy decisions but not control them.</w:t>
      </w:r>
    </w:p>
    <w:p w14:paraId="666A41B2" w14:textId="77777777" w:rsidR="00631860" w:rsidRPr="00631860" w:rsidRDefault="00631860" w:rsidP="00631860">
      <w:pPr>
        <w:spacing w:line="276" w:lineRule="auto"/>
        <w:rPr>
          <w:rFonts w:ascii="Century Gothic" w:eastAsia="Arial" w:hAnsi="Century Gothic" w:cs="Arial"/>
          <w:szCs w:val="20"/>
          <w:lang w:val="en" w:eastAsia="en-AU"/>
        </w:rPr>
      </w:pPr>
    </w:p>
    <w:p w14:paraId="15673856" w14:textId="77777777" w:rsidR="00631860" w:rsidRPr="00631860" w:rsidRDefault="00631860" w:rsidP="00631860">
      <w:pPr>
        <w:spacing w:after="160" w:line="259" w:lineRule="auto"/>
        <w:rPr>
          <w:rFonts w:ascii="Georgia" w:eastAsia="Arial" w:hAnsi="Georgia" w:cs="Arial"/>
          <w:szCs w:val="20"/>
          <w:lang w:val="en" w:eastAsia="en-AU"/>
        </w:rPr>
      </w:pPr>
      <w:r w:rsidRPr="00631860">
        <w:rPr>
          <w:rFonts w:ascii="Georgia" w:eastAsia="Arial" w:hAnsi="Georgia" w:cs="Arial"/>
          <w:szCs w:val="20"/>
          <w:lang w:val="en" w:eastAsia="en-AU"/>
        </w:rPr>
        <w:br w:type="page"/>
      </w:r>
    </w:p>
    <w:p w14:paraId="33E8F995" w14:textId="77777777" w:rsidR="00631860" w:rsidRPr="00C12FD6" w:rsidRDefault="00631860" w:rsidP="00631860">
      <w:pPr>
        <w:keepNext/>
        <w:keepLines/>
        <w:spacing w:after="180"/>
        <w:outlineLvl w:val="1"/>
        <w:rPr>
          <w:rFonts w:ascii="Century Gothic" w:eastAsia="Arial" w:hAnsi="Century Gothic" w:cs="Arial"/>
          <w:b/>
          <w:bCs/>
          <w:color w:val="000000" w:themeColor="text1"/>
          <w:sz w:val="32"/>
          <w:szCs w:val="32"/>
          <w:lang w:val="en" w:eastAsia="en-AU"/>
        </w:rPr>
      </w:pPr>
      <w:bookmarkStart w:id="5" w:name="_Toc137643335"/>
      <w:r w:rsidRPr="00C12FD6">
        <w:rPr>
          <w:rFonts w:ascii="Century Gothic" w:eastAsia="Georgia" w:hAnsi="Century Gothic" w:cs="Georgia"/>
          <w:b/>
          <w:bCs/>
          <w:color w:val="000000" w:themeColor="text1"/>
          <w:sz w:val="32"/>
          <w:szCs w:val="32"/>
          <w:lang w:val="en" w:eastAsia="en-AU"/>
        </w:rPr>
        <w:lastRenderedPageBreak/>
        <w:t>Appendix A: Pre-Approved Assurance Services (“Category A”)</w:t>
      </w:r>
      <w:bookmarkEnd w:id="5"/>
    </w:p>
    <w:p w14:paraId="0BBBA7C4" w14:textId="77777777" w:rsidR="00631860" w:rsidRPr="00631860" w:rsidRDefault="00631860" w:rsidP="00631860">
      <w:pPr>
        <w:spacing w:before="240" w:after="240" w:line="276" w:lineRule="auto"/>
        <w:rPr>
          <w:rFonts w:ascii="Century Gothic" w:eastAsia="Arial" w:hAnsi="Century Gothic" w:cs="Arial"/>
          <w:szCs w:val="20"/>
          <w:lang w:val="en" w:eastAsia="en-AU"/>
        </w:rPr>
      </w:pPr>
      <w:r w:rsidRPr="00631860">
        <w:rPr>
          <w:rFonts w:ascii="Century Gothic" w:eastAsia="Arial" w:hAnsi="Century Gothic" w:cs="Arial"/>
          <w:szCs w:val="20"/>
          <w:lang w:val="en" w:eastAsia="en-AU"/>
        </w:rPr>
        <w:t>All services in this category as set out below are pre-approved by the Audit Committee.</w:t>
      </w:r>
    </w:p>
    <w:p w14:paraId="391FCD7D" w14:textId="77777777" w:rsidR="00631860" w:rsidRPr="00631860" w:rsidRDefault="00631860" w:rsidP="00631860">
      <w:pPr>
        <w:spacing w:line="280" w:lineRule="auto"/>
        <w:rPr>
          <w:rFonts w:ascii="Century Gothic" w:eastAsia="Arial" w:hAnsi="Century Gothic" w:cs="Arial"/>
          <w:b/>
          <w:sz w:val="24"/>
          <w:lang w:val="en" w:eastAsia="en-AU"/>
        </w:rPr>
      </w:pPr>
      <w:r w:rsidRPr="00631860">
        <w:rPr>
          <w:rFonts w:ascii="Century Gothic" w:eastAsia="Arial" w:hAnsi="Century Gothic" w:cs="Arial"/>
          <w:b/>
          <w:sz w:val="24"/>
          <w:lang w:val="en" w:eastAsia="en-AU"/>
        </w:rPr>
        <w:t>Audit Services</w:t>
      </w:r>
    </w:p>
    <w:p w14:paraId="141B1299" w14:textId="77777777" w:rsidR="00631860" w:rsidRPr="00631860" w:rsidRDefault="00631860" w:rsidP="00631860">
      <w:pPr>
        <w:numPr>
          <w:ilvl w:val="0"/>
          <w:numId w:val="20"/>
        </w:numPr>
        <w:spacing w:line="280" w:lineRule="auto"/>
        <w:ind w:left="720" w:hanging="720"/>
        <w:rPr>
          <w:rFonts w:ascii="Century Gothic" w:eastAsia="Arial" w:hAnsi="Century Gothic" w:cs="Arial"/>
          <w:sz w:val="22"/>
          <w:szCs w:val="22"/>
          <w:lang w:val="en" w:eastAsia="en-AU"/>
        </w:rPr>
      </w:pPr>
      <w:r w:rsidRPr="00631860">
        <w:rPr>
          <w:rFonts w:ascii="Century Gothic" w:eastAsia="Arial" w:hAnsi="Century Gothic" w:cs="Arial"/>
          <w:szCs w:val="20"/>
          <w:lang w:val="en" w:eastAsia="en-AU"/>
        </w:rPr>
        <w:t>Statutory audits or financial audits and interim reviews as required or permitted by applicable companies and securities legislation.</w:t>
      </w:r>
    </w:p>
    <w:p w14:paraId="6DA5376B" w14:textId="77777777" w:rsidR="00631860" w:rsidRPr="00631860" w:rsidRDefault="00631860" w:rsidP="00631860">
      <w:pPr>
        <w:numPr>
          <w:ilvl w:val="0"/>
          <w:numId w:val="20"/>
        </w:numPr>
        <w:spacing w:line="280" w:lineRule="auto"/>
        <w:ind w:left="720" w:hanging="720"/>
        <w:rPr>
          <w:rFonts w:ascii="Century Gothic" w:eastAsia="Arial" w:hAnsi="Century Gothic" w:cs="Arial"/>
          <w:sz w:val="22"/>
          <w:szCs w:val="22"/>
          <w:lang w:val="en" w:eastAsia="en-AU"/>
        </w:rPr>
      </w:pPr>
      <w:r w:rsidRPr="00631860">
        <w:rPr>
          <w:rFonts w:ascii="Century Gothic" w:eastAsia="Arial" w:hAnsi="Century Gothic" w:cs="Arial"/>
          <w:szCs w:val="20"/>
          <w:lang w:val="en" w:eastAsia="en-AU"/>
        </w:rPr>
        <w:t xml:space="preserve">Audit, </w:t>
      </w:r>
      <w:proofErr w:type="gramStart"/>
      <w:r w:rsidRPr="00631860">
        <w:rPr>
          <w:rFonts w:ascii="Century Gothic" w:eastAsia="Arial" w:hAnsi="Century Gothic" w:cs="Arial"/>
          <w:szCs w:val="20"/>
          <w:lang w:val="en" w:eastAsia="en-AU"/>
        </w:rPr>
        <w:t>review</w:t>
      </w:r>
      <w:proofErr w:type="gramEnd"/>
      <w:r w:rsidRPr="00631860">
        <w:rPr>
          <w:rFonts w:ascii="Century Gothic" w:eastAsia="Arial" w:hAnsi="Century Gothic" w:cs="Arial"/>
          <w:szCs w:val="20"/>
          <w:lang w:val="en" w:eastAsia="en-AU"/>
        </w:rPr>
        <w:t xml:space="preserve"> and attest services (other than those described in 1, above) associated with the registration and/or filing of documents with regulatory or supervisory authorities and stock exchanges, where it is mandatory or more practical for the external auditor to provide those services.</w:t>
      </w:r>
    </w:p>
    <w:p w14:paraId="764BFAC8" w14:textId="77777777" w:rsidR="00631860" w:rsidRPr="00631860" w:rsidRDefault="00631860" w:rsidP="00631860">
      <w:pPr>
        <w:numPr>
          <w:ilvl w:val="0"/>
          <w:numId w:val="20"/>
        </w:numPr>
        <w:spacing w:line="280" w:lineRule="auto"/>
        <w:ind w:left="0" w:firstLine="0"/>
        <w:rPr>
          <w:rFonts w:ascii="Century Gothic" w:eastAsia="Arial" w:hAnsi="Century Gothic" w:cs="Arial"/>
          <w:sz w:val="22"/>
          <w:szCs w:val="22"/>
          <w:lang w:val="en" w:eastAsia="en-AU"/>
        </w:rPr>
      </w:pPr>
      <w:r w:rsidRPr="00631860">
        <w:rPr>
          <w:rFonts w:ascii="Century Gothic" w:eastAsia="Arial" w:hAnsi="Century Gothic" w:cs="Arial"/>
          <w:szCs w:val="20"/>
          <w:lang w:val="en" w:eastAsia="en-AU"/>
        </w:rPr>
        <w:t>Audit required by other regulatory bodies.</w:t>
      </w:r>
    </w:p>
    <w:p w14:paraId="5BE0AEAF" w14:textId="77777777" w:rsidR="00631860" w:rsidRPr="00631860" w:rsidRDefault="00631860" w:rsidP="00631860">
      <w:pPr>
        <w:spacing w:line="280" w:lineRule="auto"/>
        <w:ind w:firstLine="360"/>
        <w:rPr>
          <w:rFonts w:ascii="Century Gothic" w:eastAsia="Arial" w:hAnsi="Century Gothic" w:cs="Arial"/>
          <w:b/>
          <w:sz w:val="24"/>
          <w:lang w:val="en" w:eastAsia="en-AU"/>
        </w:rPr>
      </w:pPr>
    </w:p>
    <w:p w14:paraId="559A5C4B" w14:textId="77777777" w:rsidR="00631860" w:rsidRPr="00631860" w:rsidRDefault="00631860" w:rsidP="00631860">
      <w:pPr>
        <w:spacing w:line="280" w:lineRule="auto"/>
        <w:rPr>
          <w:rFonts w:ascii="Century Gothic" w:eastAsia="Arial" w:hAnsi="Century Gothic" w:cs="Arial"/>
          <w:szCs w:val="20"/>
          <w:lang w:val="en" w:eastAsia="en-AU"/>
        </w:rPr>
      </w:pPr>
      <w:r w:rsidRPr="00631860">
        <w:rPr>
          <w:rFonts w:ascii="Century Gothic" w:eastAsia="Arial" w:hAnsi="Century Gothic" w:cs="Arial"/>
          <w:b/>
          <w:sz w:val="24"/>
          <w:lang w:val="en" w:eastAsia="en-AU"/>
        </w:rPr>
        <w:t>Other Audit and Assurance Services</w:t>
      </w:r>
    </w:p>
    <w:p w14:paraId="1DD39898" w14:textId="77777777" w:rsidR="00631860" w:rsidRPr="00631860" w:rsidRDefault="00631860" w:rsidP="004E4296">
      <w:pPr>
        <w:numPr>
          <w:ilvl w:val="0"/>
          <w:numId w:val="21"/>
        </w:numPr>
        <w:spacing w:line="280" w:lineRule="auto"/>
        <w:ind w:left="709" w:hanging="709"/>
        <w:rPr>
          <w:rFonts w:ascii="Century Gothic" w:eastAsia="Arial" w:hAnsi="Century Gothic" w:cs="Arial"/>
          <w:sz w:val="22"/>
          <w:szCs w:val="22"/>
          <w:lang w:val="en" w:eastAsia="en-AU"/>
        </w:rPr>
      </w:pPr>
      <w:r w:rsidRPr="00631860">
        <w:rPr>
          <w:rFonts w:ascii="Century Gothic" w:eastAsia="Arial" w:hAnsi="Century Gothic" w:cs="Arial"/>
          <w:szCs w:val="20"/>
          <w:lang w:val="en" w:eastAsia="en-AU"/>
        </w:rPr>
        <w:t xml:space="preserve">Agreed upon procedures, comfort letters, accounting opinions, </w:t>
      </w:r>
      <w:proofErr w:type="gramStart"/>
      <w:r w:rsidRPr="00631860">
        <w:rPr>
          <w:rFonts w:ascii="Century Gothic" w:eastAsia="Arial" w:hAnsi="Century Gothic" w:cs="Arial"/>
          <w:szCs w:val="20"/>
          <w:lang w:val="en" w:eastAsia="en-AU"/>
        </w:rPr>
        <w:t>consents</w:t>
      </w:r>
      <w:proofErr w:type="gramEnd"/>
      <w:r w:rsidRPr="00631860">
        <w:rPr>
          <w:rFonts w:ascii="Century Gothic" w:eastAsia="Arial" w:hAnsi="Century Gothic" w:cs="Arial"/>
          <w:szCs w:val="20"/>
          <w:lang w:val="en" w:eastAsia="en-AU"/>
        </w:rPr>
        <w:t xml:space="preserve"> and other forms of attestation (including services provided in the capacity as an adviser to Due Diligence Committees) provided by the external auditor (including to third parties) in collection with debt or equity raisings, financing activities, note issue programs or other related compliance activities.</w:t>
      </w:r>
    </w:p>
    <w:p w14:paraId="5991AF8C" w14:textId="77777777" w:rsidR="00631860" w:rsidRPr="00631860" w:rsidRDefault="00631860" w:rsidP="004E4296">
      <w:pPr>
        <w:keepNext/>
        <w:keepLines/>
        <w:numPr>
          <w:ilvl w:val="0"/>
          <w:numId w:val="21"/>
        </w:numPr>
        <w:spacing w:after="180" w:line="276" w:lineRule="auto"/>
        <w:ind w:left="709" w:hanging="709"/>
        <w:outlineLvl w:val="1"/>
        <w:rPr>
          <w:rFonts w:ascii="Century Gothic" w:eastAsia="Arial" w:hAnsi="Century Gothic" w:cs="Arial"/>
          <w:sz w:val="32"/>
          <w:szCs w:val="32"/>
          <w:lang w:val="en" w:eastAsia="en-AU"/>
        </w:rPr>
      </w:pPr>
      <w:bookmarkStart w:id="6" w:name="_xpohipabm2i1"/>
      <w:bookmarkStart w:id="7" w:name="_Toc137643336"/>
      <w:bookmarkEnd w:id="6"/>
      <w:r w:rsidRPr="00631860">
        <w:rPr>
          <w:rFonts w:ascii="Century Gothic" w:eastAsia="Arial" w:hAnsi="Century Gothic" w:cs="Arial"/>
          <w:szCs w:val="20"/>
          <w:lang w:val="en" w:eastAsia="en-AU"/>
        </w:rPr>
        <w:t>Reports to external parties where it is market practice for the external auditor to provide such reports. An example includes assurance/reporting on environmental, social and governance reporting made by Aeris.</w:t>
      </w:r>
      <w:bookmarkEnd w:id="7"/>
    </w:p>
    <w:p w14:paraId="45086DC5" w14:textId="77777777" w:rsidR="00631860" w:rsidRPr="00631860" w:rsidRDefault="00631860" w:rsidP="00631860">
      <w:pPr>
        <w:keepNext/>
        <w:keepLines/>
        <w:spacing w:after="180"/>
        <w:ind w:left="-142" w:hanging="270"/>
        <w:outlineLvl w:val="1"/>
        <w:rPr>
          <w:rFonts w:ascii="Century Gothic" w:eastAsia="Georgia" w:hAnsi="Century Gothic" w:cs="Georgia"/>
          <w:szCs w:val="20"/>
          <w:lang w:val="en" w:eastAsia="en-AU"/>
        </w:rPr>
      </w:pPr>
      <w:r w:rsidRPr="00631860">
        <w:rPr>
          <w:rFonts w:ascii="Century Gothic" w:hAnsi="Century Gothic" w:cs="Arial"/>
          <w:sz w:val="32"/>
          <w:szCs w:val="32"/>
          <w:lang w:val="en" w:eastAsia="en-AU"/>
        </w:rPr>
        <w:br w:type="page"/>
      </w:r>
      <w:bookmarkStart w:id="8" w:name="_8riyy0ruzy71"/>
      <w:bookmarkEnd w:id="8"/>
    </w:p>
    <w:p w14:paraId="6F67E539" w14:textId="33FF1CD3" w:rsidR="00631860" w:rsidRPr="00C12FD6" w:rsidRDefault="00631860" w:rsidP="00631860">
      <w:pPr>
        <w:keepNext/>
        <w:keepLines/>
        <w:spacing w:after="180"/>
        <w:outlineLvl w:val="1"/>
        <w:rPr>
          <w:rFonts w:ascii="Century Gothic" w:eastAsia="Georgia" w:hAnsi="Century Gothic" w:cs="Georgia"/>
          <w:b/>
          <w:bCs/>
          <w:color w:val="000000" w:themeColor="text1"/>
          <w:sz w:val="32"/>
          <w:szCs w:val="32"/>
          <w:lang w:val="en" w:eastAsia="en-AU"/>
        </w:rPr>
      </w:pPr>
      <w:bookmarkStart w:id="9" w:name="_Toc137643337"/>
      <w:r w:rsidRPr="00C12FD6">
        <w:rPr>
          <w:rFonts w:ascii="Century Gothic" w:eastAsia="Georgia" w:hAnsi="Century Gothic" w:cs="Georgia"/>
          <w:b/>
          <w:bCs/>
          <w:color w:val="000000" w:themeColor="text1"/>
          <w:sz w:val="32"/>
          <w:szCs w:val="32"/>
          <w:lang w:val="en" w:eastAsia="en-AU"/>
        </w:rPr>
        <w:lastRenderedPageBreak/>
        <w:t>Appendix B: Pre-Approved Non</w:t>
      </w:r>
      <w:r w:rsidR="004E4296" w:rsidRPr="00C12FD6">
        <w:rPr>
          <w:rFonts w:ascii="Century Gothic" w:eastAsia="Georgia" w:hAnsi="Century Gothic" w:cs="Georgia"/>
          <w:b/>
          <w:bCs/>
          <w:color w:val="000000" w:themeColor="text1"/>
          <w:sz w:val="32"/>
          <w:szCs w:val="32"/>
          <w:lang w:val="en" w:eastAsia="en-AU"/>
        </w:rPr>
        <w:t>-</w:t>
      </w:r>
      <w:r w:rsidRPr="00C12FD6">
        <w:rPr>
          <w:rFonts w:ascii="Century Gothic" w:eastAsia="Georgia" w:hAnsi="Century Gothic" w:cs="Georgia"/>
          <w:b/>
          <w:bCs/>
          <w:color w:val="000000" w:themeColor="text1"/>
          <w:sz w:val="32"/>
          <w:szCs w:val="32"/>
          <w:lang w:val="en" w:eastAsia="en-AU"/>
        </w:rPr>
        <w:t>Audit Services (“Category B”)</w:t>
      </w:r>
      <w:bookmarkEnd w:id="9"/>
    </w:p>
    <w:p w14:paraId="7FD1A08F" w14:textId="77777777" w:rsidR="00631860" w:rsidRPr="00631860" w:rsidRDefault="00631860" w:rsidP="00631860">
      <w:pPr>
        <w:spacing w:before="240" w:after="240" w:line="280" w:lineRule="auto"/>
        <w:rPr>
          <w:rFonts w:ascii="Century Gothic" w:eastAsia="Arial" w:hAnsi="Century Gothic" w:cs="Arial"/>
          <w:szCs w:val="20"/>
          <w:lang w:val="en" w:eastAsia="en-AU"/>
        </w:rPr>
      </w:pPr>
      <w:r w:rsidRPr="00631860">
        <w:rPr>
          <w:rFonts w:ascii="Century Gothic" w:eastAsia="Arial" w:hAnsi="Century Gothic" w:cs="Arial"/>
          <w:szCs w:val="20"/>
          <w:lang w:val="en" w:eastAsia="en-AU"/>
        </w:rPr>
        <w:t>Services in this category as set out below are pre-approved subject to the following limitations:</w:t>
      </w:r>
    </w:p>
    <w:p w14:paraId="27732444" w14:textId="781EF9FA" w:rsidR="00425183" w:rsidRPr="003106DF" w:rsidRDefault="00425183" w:rsidP="00F10C44">
      <w:pPr>
        <w:pStyle w:val="ListParagraph"/>
        <w:numPr>
          <w:ilvl w:val="0"/>
          <w:numId w:val="36"/>
        </w:numPr>
        <w:spacing w:after="120" w:line="280" w:lineRule="auto"/>
        <w:rPr>
          <w:rFonts w:ascii="Century Gothic" w:eastAsia="Arial" w:hAnsi="Century Gothic" w:cs="Arial"/>
          <w:szCs w:val="20"/>
          <w:lang w:val="en" w:eastAsia="en-AU"/>
        </w:rPr>
      </w:pPr>
      <w:r>
        <w:rPr>
          <w:rFonts w:ascii="Century Gothic" w:eastAsia="Arial" w:hAnsi="Century Gothic" w:cs="Arial"/>
          <w:szCs w:val="20"/>
          <w:lang w:val="en" w:eastAsia="en-AU"/>
        </w:rPr>
        <w:t>N</w:t>
      </w:r>
      <w:r w:rsidRPr="003106DF">
        <w:rPr>
          <w:rFonts w:ascii="Century Gothic" w:eastAsia="Arial" w:hAnsi="Century Gothic" w:cs="Arial"/>
          <w:szCs w:val="20"/>
          <w:lang w:val="en" w:eastAsia="en-AU"/>
        </w:rPr>
        <w:t xml:space="preserve">o individual engagement for services in this category </w:t>
      </w:r>
      <w:r>
        <w:rPr>
          <w:rFonts w:ascii="Century Gothic" w:eastAsia="Arial" w:hAnsi="Century Gothic" w:cs="Arial"/>
          <w:szCs w:val="20"/>
          <w:lang w:val="en" w:eastAsia="en-AU"/>
        </w:rPr>
        <w:t>can be approved</w:t>
      </w:r>
      <w:r w:rsidRPr="003106DF">
        <w:rPr>
          <w:rFonts w:ascii="Century Gothic" w:eastAsia="Arial" w:hAnsi="Century Gothic" w:cs="Arial"/>
          <w:szCs w:val="20"/>
          <w:lang w:val="en" w:eastAsia="en-AU"/>
        </w:rPr>
        <w:t xml:space="preserve"> (excluding GST) without the separate prior approval of the CFO or Managing Director/Chief Executive Officer; and</w:t>
      </w:r>
    </w:p>
    <w:p w14:paraId="07430CDD" w14:textId="6BC8B4B0" w:rsidR="00425183" w:rsidRPr="003106DF" w:rsidRDefault="00425183" w:rsidP="00425183">
      <w:pPr>
        <w:pStyle w:val="ListParagraph"/>
        <w:numPr>
          <w:ilvl w:val="0"/>
          <w:numId w:val="36"/>
        </w:numPr>
        <w:spacing w:after="120" w:line="280" w:lineRule="auto"/>
        <w:rPr>
          <w:rFonts w:ascii="Century Gothic" w:eastAsia="Arial" w:hAnsi="Century Gothic" w:cs="Arial"/>
          <w:szCs w:val="20"/>
          <w:lang w:val="en" w:eastAsia="en-AU"/>
        </w:rPr>
      </w:pPr>
      <w:r>
        <w:rPr>
          <w:rFonts w:ascii="Century Gothic" w:eastAsia="Arial" w:hAnsi="Century Gothic" w:cs="Arial"/>
          <w:szCs w:val="20"/>
          <w:lang w:val="en" w:eastAsia="en-AU"/>
        </w:rPr>
        <w:t>T</w:t>
      </w:r>
      <w:r w:rsidRPr="003106DF">
        <w:rPr>
          <w:rFonts w:ascii="Century Gothic" w:eastAsia="Arial" w:hAnsi="Century Gothic" w:cs="Arial"/>
          <w:szCs w:val="20"/>
          <w:lang w:val="en" w:eastAsia="en-AU"/>
        </w:rPr>
        <w:t>he approval</w:t>
      </w:r>
      <w:r>
        <w:rPr>
          <w:rFonts w:ascii="Century Gothic" w:eastAsia="Arial" w:hAnsi="Century Gothic" w:cs="Arial"/>
          <w:szCs w:val="20"/>
          <w:lang w:val="en" w:eastAsia="en-AU"/>
        </w:rPr>
        <w:t xml:space="preserve"> from</w:t>
      </w:r>
      <w:r w:rsidRPr="003106DF">
        <w:rPr>
          <w:rFonts w:ascii="Century Gothic" w:eastAsia="Arial" w:hAnsi="Century Gothic" w:cs="Arial"/>
          <w:szCs w:val="20"/>
          <w:lang w:val="en" w:eastAsia="en-AU"/>
        </w:rPr>
        <w:t xml:space="preserve"> the Audit Committee </w:t>
      </w:r>
      <w:r>
        <w:rPr>
          <w:rFonts w:ascii="Century Gothic" w:eastAsia="Arial" w:hAnsi="Century Gothic" w:cs="Arial"/>
          <w:szCs w:val="20"/>
          <w:lang w:val="en" w:eastAsia="en-AU"/>
        </w:rPr>
        <w:t xml:space="preserve">Chair </w:t>
      </w:r>
      <w:r w:rsidRPr="003106DF">
        <w:rPr>
          <w:rFonts w:ascii="Century Gothic" w:eastAsia="Arial" w:hAnsi="Century Gothic" w:cs="Arial"/>
          <w:szCs w:val="20"/>
          <w:lang w:val="en" w:eastAsia="en-AU"/>
        </w:rPr>
        <w:t>is required prior to the engagement of the external auditor for services in this category in excess of $</w:t>
      </w:r>
      <w:r>
        <w:rPr>
          <w:rFonts w:ascii="Century Gothic" w:eastAsia="Arial" w:hAnsi="Century Gothic" w:cs="Arial"/>
          <w:szCs w:val="20"/>
          <w:lang w:val="en" w:eastAsia="en-AU"/>
        </w:rPr>
        <w:t>50,000</w:t>
      </w:r>
      <w:r w:rsidRPr="003106DF">
        <w:rPr>
          <w:rFonts w:ascii="Century Gothic" w:eastAsia="Arial" w:hAnsi="Century Gothic" w:cs="Arial"/>
          <w:szCs w:val="20"/>
          <w:lang w:val="en" w:eastAsia="en-AU"/>
        </w:rPr>
        <w:t xml:space="preserve"> (excluding GST).</w:t>
      </w:r>
    </w:p>
    <w:tbl>
      <w:tblPr>
        <w:tblW w:w="9927" w:type="dxa"/>
        <w:tblInd w:w="-152" w:type="dxa"/>
        <w:tblBorders>
          <w:insideH w:val="nil"/>
          <w:insideV w:val="nil"/>
        </w:tblBorders>
        <w:tblLayout w:type="fixed"/>
        <w:tblLook w:val="0600" w:firstRow="0" w:lastRow="0" w:firstColumn="0" w:lastColumn="0" w:noHBand="1" w:noVBand="1"/>
      </w:tblPr>
      <w:tblGrid>
        <w:gridCol w:w="2836"/>
        <w:gridCol w:w="7091"/>
      </w:tblGrid>
      <w:tr w:rsidR="00631860" w:rsidRPr="00631860" w14:paraId="0DD7B4E1" w14:textId="77777777" w:rsidTr="004E4296">
        <w:trPr>
          <w:trHeight w:val="521"/>
        </w:trPr>
        <w:tc>
          <w:tcPr>
            <w:tcW w:w="28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A4A1CD" w14:textId="77777777" w:rsidR="00631860" w:rsidRPr="00631860" w:rsidRDefault="00631860" w:rsidP="004E4296">
            <w:pPr>
              <w:keepNext/>
              <w:keepLines/>
              <w:spacing w:before="100"/>
              <w:ind w:left="1060" w:hanging="731"/>
              <w:outlineLvl w:val="1"/>
              <w:rPr>
                <w:rFonts w:ascii="Century Gothic" w:eastAsia="Georgia" w:hAnsi="Century Gothic" w:cs="Arial"/>
                <w:b/>
                <w:szCs w:val="20"/>
                <w:lang w:val="en" w:eastAsia="en-AU"/>
              </w:rPr>
            </w:pPr>
            <w:bookmarkStart w:id="10" w:name="_Toc137643338"/>
            <w:r w:rsidRPr="00631860">
              <w:rPr>
                <w:rFonts w:ascii="Century Gothic" w:eastAsia="Georgia" w:hAnsi="Century Gothic" w:cs="Arial"/>
                <w:b/>
                <w:szCs w:val="20"/>
                <w:lang w:val="en" w:eastAsia="en-AU"/>
              </w:rPr>
              <w:t>Type of Service</w:t>
            </w:r>
            <w:bookmarkEnd w:id="10"/>
          </w:p>
        </w:tc>
        <w:tc>
          <w:tcPr>
            <w:tcW w:w="709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76E016CD" w14:textId="77777777" w:rsidR="00631860" w:rsidRPr="00631860" w:rsidRDefault="00631860" w:rsidP="00631860">
            <w:pPr>
              <w:keepNext/>
              <w:keepLines/>
              <w:tabs>
                <w:tab w:val="left" w:pos="3766"/>
              </w:tabs>
              <w:spacing w:before="100"/>
              <w:ind w:left="2680" w:right="2440" w:hanging="599"/>
              <w:jc w:val="center"/>
              <w:outlineLvl w:val="1"/>
              <w:rPr>
                <w:rFonts w:ascii="Century Gothic" w:eastAsia="Georgia" w:hAnsi="Century Gothic" w:cs="Arial"/>
                <w:b/>
                <w:szCs w:val="20"/>
                <w:lang w:val="en" w:eastAsia="en-AU"/>
              </w:rPr>
            </w:pPr>
            <w:bookmarkStart w:id="11" w:name="_Toc137643339"/>
            <w:r w:rsidRPr="00631860">
              <w:rPr>
                <w:rFonts w:ascii="Century Gothic" w:eastAsia="Georgia" w:hAnsi="Century Gothic" w:cs="Arial"/>
                <w:b/>
                <w:szCs w:val="20"/>
                <w:lang w:val="en" w:eastAsia="en-AU"/>
              </w:rPr>
              <w:t>Description</w:t>
            </w:r>
            <w:bookmarkEnd w:id="11"/>
          </w:p>
        </w:tc>
      </w:tr>
      <w:tr w:rsidR="00631860" w:rsidRPr="00631860" w14:paraId="4B8CA633" w14:textId="77777777" w:rsidTr="004E4296">
        <w:trPr>
          <w:trHeight w:val="366"/>
        </w:trPr>
        <w:tc>
          <w:tcPr>
            <w:tcW w:w="9923"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42DFB3" w14:textId="77777777" w:rsidR="00631860" w:rsidRPr="00631860" w:rsidRDefault="00631860" w:rsidP="004E4296">
            <w:pPr>
              <w:keepNext/>
              <w:keepLines/>
              <w:spacing w:before="100" w:after="240"/>
              <w:ind w:left="140"/>
              <w:outlineLvl w:val="1"/>
              <w:rPr>
                <w:rFonts w:ascii="Century Gothic" w:eastAsia="Georgia" w:hAnsi="Century Gothic" w:cs="Arial"/>
                <w:b/>
                <w:szCs w:val="20"/>
                <w:lang w:val="en" w:eastAsia="en-AU"/>
              </w:rPr>
            </w:pPr>
            <w:bookmarkStart w:id="12" w:name="_Toc137643340"/>
            <w:r w:rsidRPr="00631860">
              <w:rPr>
                <w:rFonts w:ascii="Century Gothic" w:eastAsia="Georgia" w:hAnsi="Century Gothic" w:cs="Arial"/>
                <w:b/>
                <w:szCs w:val="20"/>
                <w:lang w:val="en" w:eastAsia="en-AU"/>
              </w:rPr>
              <w:t>Advice and Recommendations</w:t>
            </w:r>
            <w:bookmarkEnd w:id="12"/>
          </w:p>
        </w:tc>
      </w:tr>
      <w:tr w:rsidR="00631860" w:rsidRPr="00631860" w14:paraId="6BD7B0C7" w14:textId="77777777" w:rsidTr="004E4296">
        <w:trPr>
          <w:trHeight w:val="2255"/>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DD0DA00" w14:textId="77777777" w:rsidR="00631860" w:rsidRPr="00631860" w:rsidRDefault="00631860" w:rsidP="004E4296">
            <w:pPr>
              <w:keepNext/>
              <w:keepLines/>
              <w:spacing w:before="100" w:after="100" w:line="276" w:lineRule="auto"/>
              <w:ind w:left="340"/>
              <w:outlineLvl w:val="1"/>
              <w:rPr>
                <w:rFonts w:ascii="Century Gothic" w:eastAsia="Georgia" w:hAnsi="Century Gothic" w:cs="Arial"/>
                <w:szCs w:val="20"/>
                <w:lang w:val="en" w:eastAsia="en-AU"/>
              </w:rPr>
            </w:pPr>
            <w:bookmarkStart w:id="13" w:name="_Toc137643341"/>
            <w:r w:rsidRPr="00631860">
              <w:rPr>
                <w:rFonts w:ascii="Century Gothic" w:eastAsia="Georgia" w:hAnsi="Century Gothic" w:cs="Arial"/>
                <w:szCs w:val="20"/>
                <w:lang w:val="en" w:eastAsia="en-AU"/>
              </w:rPr>
              <w:t>Accounting Consultations</w:t>
            </w:r>
            <w:bookmarkEnd w:id="13"/>
          </w:p>
        </w:tc>
        <w:tc>
          <w:tcPr>
            <w:tcW w:w="7091" w:type="dxa"/>
            <w:tcBorders>
              <w:top w:val="nil"/>
              <w:left w:val="nil"/>
              <w:bottom w:val="single" w:sz="8" w:space="0" w:color="000000"/>
              <w:right w:val="single" w:sz="8" w:space="0" w:color="000000"/>
            </w:tcBorders>
            <w:tcMar>
              <w:top w:w="100" w:type="dxa"/>
              <w:left w:w="100" w:type="dxa"/>
              <w:bottom w:w="100" w:type="dxa"/>
              <w:right w:w="100" w:type="dxa"/>
            </w:tcMar>
            <w:hideMark/>
          </w:tcPr>
          <w:p w14:paraId="00482C4A" w14:textId="77777777" w:rsidR="00631860" w:rsidRPr="00631860" w:rsidRDefault="00631860" w:rsidP="00631860">
            <w:pPr>
              <w:keepNext/>
              <w:keepLines/>
              <w:spacing w:before="100" w:after="100" w:line="276" w:lineRule="auto"/>
              <w:ind w:left="340" w:right="140"/>
              <w:outlineLvl w:val="1"/>
              <w:rPr>
                <w:rFonts w:ascii="Century Gothic" w:eastAsia="Georgia" w:hAnsi="Century Gothic" w:cs="Arial"/>
                <w:szCs w:val="20"/>
                <w:lang w:val="en" w:eastAsia="en-AU"/>
              </w:rPr>
            </w:pPr>
            <w:bookmarkStart w:id="14" w:name="_Toc137643342"/>
            <w:r w:rsidRPr="00631860">
              <w:rPr>
                <w:rFonts w:ascii="Century Gothic" w:eastAsia="Georgia" w:hAnsi="Century Gothic" w:cs="Arial"/>
                <w:szCs w:val="20"/>
                <w:lang w:val="en" w:eastAsia="en-AU"/>
              </w:rPr>
              <w:t>Inquiries and related consultations by Aeris’ management performed outside the course of the audit provided that these are limited to generic and/or high level advice and recommendations that require management to develop their own implementation plans as to the accounting or disclosure treatment of transactions or events and/or the actual or potential impact of final or proposed rules, standards, or interpretations by regulatory bodies, the IASB or other standard setting bodies.</w:t>
            </w:r>
            <w:bookmarkEnd w:id="14"/>
          </w:p>
        </w:tc>
      </w:tr>
      <w:tr w:rsidR="00631860" w:rsidRPr="00631860" w14:paraId="1E7DA82C" w14:textId="77777777" w:rsidTr="004E4296">
        <w:trPr>
          <w:trHeight w:val="875"/>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A5AE57" w14:textId="77777777" w:rsidR="00631860" w:rsidRPr="00631860" w:rsidRDefault="00631860" w:rsidP="004E4296">
            <w:pPr>
              <w:keepNext/>
              <w:keepLines/>
              <w:spacing w:before="100" w:after="100" w:line="276" w:lineRule="auto"/>
              <w:ind w:left="340" w:right="177"/>
              <w:outlineLvl w:val="1"/>
              <w:rPr>
                <w:rFonts w:ascii="Century Gothic" w:eastAsia="Georgia" w:hAnsi="Century Gothic" w:cs="Arial"/>
                <w:szCs w:val="20"/>
                <w:lang w:val="en" w:eastAsia="en-AU"/>
              </w:rPr>
            </w:pPr>
            <w:bookmarkStart w:id="15" w:name="_Toc137643343"/>
            <w:r w:rsidRPr="00631860">
              <w:rPr>
                <w:rFonts w:ascii="Century Gothic" w:eastAsia="Georgia" w:hAnsi="Century Gothic" w:cs="Arial"/>
                <w:szCs w:val="20"/>
                <w:lang w:val="en" w:eastAsia="en-AU"/>
              </w:rPr>
              <w:t>Employee Benefit Plan Consultations</w:t>
            </w:r>
            <w:bookmarkEnd w:id="15"/>
          </w:p>
        </w:tc>
        <w:tc>
          <w:tcPr>
            <w:tcW w:w="7091" w:type="dxa"/>
            <w:tcBorders>
              <w:top w:val="nil"/>
              <w:left w:val="nil"/>
              <w:bottom w:val="single" w:sz="8" w:space="0" w:color="000000"/>
              <w:right w:val="single" w:sz="8" w:space="0" w:color="000000"/>
            </w:tcBorders>
            <w:tcMar>
              <w:top w:w="100" w:type="dxa"/>
              <w:left w:w="100" w:type="dxa"/>
              <w:bottom w:w="100" w:type="dxa"/>
              <w:right w:w="100" w:type="dxa"/>
            </w:tcMar>
            <w:hideMark/>
          </w:tcPr>
          <w:p w14:paraId="0B1E24FD" w14:textId="77777777" w:rsidR="00631860" w:rsidRPr="00631860" w:rsidRDefault="00631860" w:rsidP="00631860">
            <w:pPr>
              <w:keepNext/>
              <w:keepLines/>
              <w:spacing w:before="100" w:after="100" w:line="276" w:lineRule="auto"/>
              <w:ind w:left="340" w:right="460"/>
              <w:outlineLvl w:val="1"/>
              <w:rPr>
                <w:rFonts w:ascii="Century Gothic" w:eastAsia="Georgia" w:hAnsi="Century Gothic" w:cs="Arial"/>
                <w:szCs w:val="20"/>
                <w:lang w:val="en" w:eastAsia="en-AU"/>
              </w:rPr>
            </w:pPr>
            <w:bookmarkStart w:id="16" w:name="_Toc137643344"/>
            <w:r w:rsidRPr="00631860">
              <w:rPr>
                <w:rFonts w:ascii="Century Gothic" w:eastAsia="Georgia" w:hAnsi="Century Gothic" w:cs="Arial"/>
                <w:szCs w:val="20"/>
                <w:lang w:val="en" w:eastAsia="en-AU"/>
              </w:rPr>
              <w:t>Consultation by management on accounting issues regarding employee benefit plans and programs.</w:t>
            </w:r>
            <w:bookmarkEnd w:id="16"/>
          </w:p>
        </w:tc>
      </w:tr>
      <w:tr w:rsidR="00631860" w:rsidRPr="00631860" w14:paraId="5125BC2A" w14:textId="77777777" w:rsidTr="004E4296">
        <w:trPr>
          <w:trHeight w:val="1670"/>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5A9648B" w14:textId="77777777" w:rsidR="00631860" w:rsidRPr="00631860" w:rsidRDefault="00631860" w:rsidP="004E4296">
            <w:pPr>
              <w:keepNext/>
              <w:keepLines/>
              <w:spacing w:before="100" w:after="100" w:line="276" w:lineRule="auto"/>
              <w:ind w:left="340" w:right="35"/>
              <w:outlineLvl w:val="1"/>
              <w:rPr>
                <w:rFonts w:ascii="Century Gothic" w:eastAsia="Georgia" w:hAnsi="Century Gothic" w:cs="Arial"/>
                <w:szCs w:val="20"/>
                <w:lang w:val="en" w:eastAsia="en-AU"/>
              </w:rPr>
            </w:pPr>
            <w:bookmarkStart w:id="17" w:name="_Toc137643345"/>
            <w:r w:rsidRPr="00631860">
              <w:rPr>
                <w:rFonts w:ascii="Century Gothic" w:eastAsia="Georgia" w:hAnsi="Century Gothic" w:cs="Arial"/>
                <w:szCs w:val="20"/>
                <w:lang w:val="en" w:eastAsia="en-AU"/>
              </w:rPr>
              <w:t>G/L Data Insights</w:t>
            </w:r>
            <w:bookmarkEnd w:id="17"/>
          </w:p>
        </w:tc>
        <w:tc>
          <w:tcPr>
            <w:tcW w:w="7091" w:type="dxa"/>
            <w:tcBorders>
              <w:top w:val="nil"/>
              <w:left w:val="nil"/>
              <w:bottom w:val="single" w:sz="8" w:space="0" w:color="000000"/>
              <w:right w:val="single" w:sz="8" w:space="0" w:color="000000"/>
            </w:tcBorders>
            <w:tcMar>
              <w:top w:w="100" w:type="dxa"/>
              <w:left w:w="100" w:type="dxa"/>
              <w:bottom w:w="100" w:type="dxa"/>
              <w:right w:w="100" w:type="dxa"/>
            </w:tcMar>
          </w:tcPr>
          <w:p w14:paraId="5E830A0D" w14:textId="77777777" w:rsidR="00631860" w:rsidRPr="00631860" w:rsidRDefault="00631860" w:rsidP="00631860">
            <w:pPr>
              <w:keepNext/>
              <w:keepLines/>
              <w:spacing w:before="100" w:after="100" w:line="276" w:lineRule="auto"/>
              <w:ind w:left="340" w:right="100"/>
              <w:outlineLvl w:val="1"/>
              <w:rPr>
                <w:rFonts w:ascii="Century Gothic" w:eastAsia="Georgia" w:hAnsi="Century Gothic" w:cs="Arial"/>
                <w:szCs w:val="20"/>
                <w:lang w:val="en" w:eastAsia="en-AU"/>
              </w:rPr>
            </w:pPr>
            <w:bookmarkStart w:id="18" w:name="_Toc137643346"/>
            <w:r w:rsidRPr="00631860">
              <w:rPr>
                <w:rFonts w:ascii="Century Gothic" w:eastAsia="Georgia" w:hAnsi="Century Gothic" w:cs="Arial"/>
                <w:szCs w:val="20"/>
                <w:lang w:val="en" w:eastAsia="en-AU"/>
              </w:rPr>
              <w:t>Services that include the use of PwC’s Halo and other data usage software that provide segmented visualizations of Aeris’ journal entry and other transactional data.</w:t>
            </w:r>
            <w:bookmarkEnd w:id="18"/>
          </w:p>
          <w:p w14:paraId="64258197" w14:textId="77777777" w:rsidR="00631860" w:rsidRPr="00631860" w:rsidRDefault="00631860" w:rsidP="00631860">
            <w:pPr>
              <w:keepNext/>
              <w:keepLines/>
              <w:spacing w:before="100" w:after="100" w:line="276" w:lineRule="auto"/>
              <w:ind w:left="340" w:right="180"/>
              <w:outlineLvl w:val="1"/>
              <w:rPr>
                <w:rFonts w:ascii="Century Gothic" w:eastAsia="Georgia" w:hAnsi="Century Gothic" w:cs="Arial"/>
                <w:szCs w:val="20"/>
                <w:lang w:val="en" w:eastAsia="en-AU"/>
              </w:rPr>
            </w:pPr>
            <w:bookmarkStart w:id="19" w:name="_Toc137643347"/>
            <w:r w:rsidRPr="00631860">
              <w:rPr>
                <w:rFonts w:ascii="Century Gothic" w:eastAsia="Georgia" w:hAnsi="Century Gothic" w:cs="Arial"/>
                <w:szCs w:val="20"/>
                <w:lang w:val="en" w:eastAsia="en-AU"/>
              </w:rPr>
              <w:t>Discussions of observations, high-level advice/recommendations, and comparisons to datasets available to PwC.</w:t>
            </w:r>
            <w:bookmarkEnd w:id="19"/>
          </w:p>
          <w:p w14:paraId="0DE97B24" w14:textId="77777777" w:rsidR="00631860" w:rsidRPr="00631860" w:rsidRDefault="00631860" w:rsidP="00631860">
            <w:pPr>
              <w:rPr>
                <w:rFonts w:ascii="Century Gothic" w:eastAsia="Arial" w:hAnsi="Century Gothic" w:cs="Arial"/>
                <w:szCs w:val="20"/>
                <w:lang w:val="en" w:eastAsia="en-AU"/>
              </w:rPr>
            </w:pPr>
          </w:p>
        </w:tc>
      </w:tr>
      <w:tr w:rsidR="00631860" w:rsidRPr="00631860" w14:paraId="1C8B728E" w14:textId="77777777" w:rsidTr="004E4296">
        <w:trPr>
          <w:trHeight w:val="1670"/>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FB077EB" w14:textId="77777777" w:rsidR="00631860" w:rsidRPr="00631860" w:rsidRDefault="00631860" w:rsidP="004E4296">
            <w:pPr>
              <w:keepNext/>
              <w:keepLines/>
              <w:tabs>
                <w:tab w:val="left" w:pos="2313"/>
              </w:tabs>
              <w:spacing w:before="100" w:after="100" w:line="276" w:lineRule="auto"/>
              <w:ind w:left="340" w:right="177"/>
              <w:outlineLvl w:val="1"/>
              <w:rPr>
                <w:rFonts w:ascii="Century Gothic" w:eastAsia="Georgia" w:hAnsi="Century Gothic" w:cs="Arial"/>
                <w:szCs w:val="20"/>
                <w:lang w:val="en" w:eastAsia="en-AU"/>
              </w:rPr>
            </w:pPr>
            <w:bookmarkStart w:id="20" w:name="_Toc137643348"/>
            <w:r w:rsidRPr="00631860">
              <w:rPr>
                <w:rFonts w:ascii="Century Gothic" w:eastAsia="Georgia" w:hAnsi="Century Gothic" w:cs="Arial"/>
                <w:szCs w:val="20"/>
                <w:lang w:val="en" w:eastAsia="en-AU"/>
              </w:rPr>
              <w:t>Sale and purchase agreements (including completion accounts)</w:t>
            </w:r>
            <w:bookmarkEnd w:id="20"/>
          </w:p>
        </w:tc>
        <w:tc>
          <w:tcPr>
            <w:tcW w:w="7091" w:type="dxa"/>
            <w:tcBorders>
              <w:top w:val="nil"/>
              <w:left w:val="nil"/>
              <w:bottom w:val="single" w:sz="8" w:space="0" w:color="000000"/>
              <w:right w:val="single" w:sz="8" w:space="0" w:color="000000"/>
            </w:tcBorders>
            <w:tcMar>
              <w:top w:w="100" w:type="dxa"/>
              <w:left w:w="100" w:type="dxa"/>
              <w:bottom w:w="100" w:type="dxa"/>
              <w:right w:w="100" w:type="dxa"/>
            </w:tcMar>
            <w:hideMark/>
          </w:tcPr>
          <w:p w14:paraId="1FF531FD" w14:textId="77777777" w:rsidR="00631860" w:rsidRPr="00631860" w:rsidRDefault="00631860" w:rsidP="00631860">
            <w:pPr>
              <w:keepNext/>
              <w:keepLines/>
              <w:spacing w:before="100" w:after="100"/>
              <w:ind w:left="360" w:right="360"/>
              <w:outlineLvl w:val="1"/>
              <w:rPr>
                <w:rFonts w:ascii="Century Gothic" w:eastAsia="Georgia" w:hAnsi="Century Gothic" w:cs="Arial"/>
                <w:szCs w:val="20"/>
                <w:lang w:val="en" w:eastAsia="en-AU"/>
              </w:rPr>
            </w:pPr>
            <w:bookmarkStart w:id="21" w:name="_Toc137643349"/>
            <w:r w:rsidRPr="00631860">
              <w:rPr>
                <w:rFonts w:ascii="Century Gothic" w:eastAsia="Georgia" w:hAnsi="Century Gothic" w:cs="Arial"/>
                <w:szCs w:val="20"/>
                <w:lang w:val="en" w:eastAsia="en-AU"/>
              </w:rPr>
              <w:t>Advice and assistance, on sale and purchase agreements and completion accounts including benchmarking, recommendations, and advice on price adjustment mechanisms and processes.</w:t>
            </w:r>
            <w:bookmarkEnd w:id="21"/>
            <w:r w:rsidRPr="00631860">
              <w:rPr>
                <w:rFonts w:ascii="Century Gothic" w:eastAsia="Georgia" w:hAnsi="Century Gothic" w:cs="Arial"/>
                <w:szCs w:val="20"/>
                <w:lang w:val="en" w:eastAsia="en-AU"/>
              </w:rPr>
              <w:br/>
            </w:r>
          </w:p>
        </w:tc>
      </w:tr>
    </w:tbl>
    <w:p w14:paraId="2CB67B8B" w14:textId="77777777" w:rsidR="00631860" w:rsidRPr="00631860" w:rsidRDefault="00631860" w:rsidP="00631860">
      <w:pPr>
        <w:spacing w:line="276" w:lineRule="auto"/>
        <w:rPr>
          <w:rFonts w:ascii="Century Gothic" w:eastAsia="Arial" w:hAnsi="Century Gothic" w:cs="Arial"/>
          <w:szCs w:val="20"/>
          <w:lang w:val="en" w:eastAsia="en-AU"/>
        </w:rPr>
      </w:pPr>
      <w:bookmarkStart w:id="22" w:name="_lpvre911l3wv"/>
      <w:bookmarkEnd w:id="22"/>
      <w:r w:rsidRPr="00631860">
        <w:rPr>
          <w:rFonts w:ascii="Century Gothic" w:eastAsia="Arial" w:hAnsi="Century Gothic" w:cs="Arial"/>
          <w:szCs w:val="20"/>
          <w:lang w:val="en" w:eastAsia="en-AU"/>
        </w:rPr>
        <w:br w:type="page"/>
      </w:r>
    </w:p>
    <w:tbl>
      <w:tblPr>
        <w:tblW w:w="9488" w:type="dxa"/>
        <w:tblBorders>
          <w:insideH w:val="nil"/>
          <w:insideV w:val="nil"/>
        </w:tblBorders>
        <w:tblLayout w:type="fixed"/>
        <w:tblLook w:val="0600" w:firstRow="0" w:lastRow="0" w:firstColumn="0" w:lastColumn="0" w:noHBand="1" w:noVBand="1"/>
      </w:tblPr>
      <w:tblGrid>
        <w:gridCol w:w="3060"/>
        <w:gridCol w:w="6428"/>
      </w:tblGrid>
      <w:tr w:rsidR="00631860" w:rsidRPr="00631860" w14:paraId="0B1ACDA4" w14:textId="77777777" w:rsidTr="00534956">
        <w:trPr>
          <w:trHeight w:val="650"/>
        </w:trPr>
        <w:tc>
          <w:tcPr>
            <w:tcW w:w="9488" w:type="dxa"/>
            <w:gridSpan w:val="2"/>
            <w:tcBorders>
              <w:top w:val="single" w:sz="4" w:space="0" w:color="auto"/>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hideMark/>
          </w:tcPr>
          <w:p w14:paraId="6FAE41AF" w14:textId="77777777" w:rsidR="00631860" w:rsidRPr="00631860" w:rsidRDefault="00631860" w:rsidP="004E4296">
            <w:pPr>
              <w:keepNext/>
              <w:keepLines/>
              <w:spacing w:before="100" w:after="100" w:line="276" w:lineRule="auto"/>
              <w:ind w:left="140"/>
              <w:outlineLvl w:val="1"/>
              <w:rPr>
                <w:rFonts w:ascii="Century Gothic" w:eastAsia="Georgia" w:hAnsi="Century Gothic" w:cs="Arial"/>
                <w:b/>
                <w:szCs w:val="20"/>
                <w:lang w:val="en" w:eastAsia="en-AU"/>
              </w:rPr>
            </w:pPr>
            <w:bookmarkStart w:id="23" w:name="_Toc137643350"/>
            <w:r w:rsidRPr="00631860">
              <w:rPr>
                <w:rFonts w:ascii="Century Gothic" w:eastAsia="Georgia" w:hAnsi="Century Gothic" w:cs="Arial"/>
                <w:b/>
                <w:szCs w:val="20"/>
                <w:lang w:val="en" w:eastAsia="en-AU"/>
              </w:rPr>
              <w:lastRenderedPageBreak/>
              <w:t>Accounting and Bookkeeping Services</w:t>
            </w:r>
            <w:bookmarkEnd w:id="23"/>
          </w:p>
        </w:tc>
      </w:tr>
      <w:tr w:rsidR="00631860" w:rsidRPr="00631860" w14:paraId="3B6C16A4" w14:textId="77777777" w:rsidTr="00534956">
        <w:trPr>
          <w:trHeight w:val="2030"/>
        </w:trPr>
        <w:tc>
          <w:tcPr>
            <w:tcW w:w="30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E4FB1D2" w14:textId="77777777" w:rsidR="00631860" w:rsidRPr="00631860" w:rsidRDefault="00631860" w:rsidP="00631860">
            <w:pPr>
              <w:keepNext/>
              <w:keepLines/>
              <w:spacing w:before="100" w:after="100" w:line="276" w:lineRule="auto"/>
              <w:ind w:left="340" w:right="135"/>
              <w:outlineLvl w:val="1"/>
              <w:rPr>
                <w:rFonts w:ascii="Century Gothic" w:eastAsia="Georgia" w:hAnsi="Century Gothic" w:cs="Arial"/>
                <w:szCs w:val="20"/>
                <w:lang w:val="en" w:eastAsia="en-AU"/>
              </w:rPr>
            </w:pPr>
            <w:bookmarkStart w:id="24" w:name="_Toc137643351"/>
            <w:r w:rsidRPr="00631860">
              <w:rPr>
                <w:rFonts w:ascii="Century Gothic" w:eastAsia="Georgia" w:hAnsi="Century Gothic" w:cs="Arial"/>
                <w:szCs w:val="20"/>
                <w:lang w:val="en" w:eastAsia="en-AU"/>
              </w:rPr>
              <w:t>General Information Services</w:t>
            </w:r>
            <w:bookmarkEnd w:id="24"/>
          </w:p>
        </w:tc>
        <w:tc>
          <w:tcPr>
            <w:tcW w:w="6428"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72658354" w14:textId="77777777" w:rsidR="00631860" w:rsidRPr="00631860" w:rsidRDefault="00631860" w:rsidP="00631860">
            <w:pPr>
              <w:keepNext/>
              <w:keepLines/>
              <w:spacing w:before="100" w:after="100" w:line="276" w:lineRule="auto"/>
              <w:ind w:left="340" w:right="180"/>
              <w:outlineLvl w:val="1"/>
              <w:rPr>
                <w:rFonts w:ascii="Century Gothic" w:eastAsia="Georgia" w:hAnsi="Century Gothic" w:cs="Arial"/>
                <w:szCs w:val="20"/>
                <w:lang w:val="en" w:eastAsia="en-AU"/>
              </w:rPr>
            </w:pPr>
            <w:bookmarkStart w:id="25" w:name="_Toc137643352"/>
            <w:r w:rsidRPr="00631860">
              <w:rPr>
                <w:rFonts w:ascii="Century Gothic" w:eastAsia="Georgia" w:hAnsi="Century Gothic" w:cs="Arial"/>
                <w:szCs w:val="20"/>
                <w:lang w:val="en" w:eastAsia="en-AU"/>
              </w:rPr>
              <w:t>General Information Services provided on a subscription basis such as technical research resources and checklists, accounting and disclosure software tools, benchmarking services (e.g., industry-</w:t>
            </w:r>
            <w:proofErr w:type="gramStart"/>
            <w:r w:rsidRPr="00631860">
              <w:rPr>
                <w:rFonts w:ascii="Century Gothic" w:eastAsia="Georgia" w:hAnsi="Century Gothic" w:cs="Arial"/>
                <w:szCs w:val="20"/>
                <w:lang w:val="en" w:eastAsia="en-AU"/>
              </w:rPr>
              <w:t>wide</w:t>
            </w:r>
            <w:proofErr w:type="gramEnd"/>
            <w:r w:rsidRPr="00631860">
              <w:rPr>
                <w:rFonts w:ascii="Century Gothic" w:eastAsia="Georgia" w:hAnsi="Century Gothic" w:cs="Arial"/>
                <w:szCs w:val="20"/>
                <w:lang w:val="en" w:eastAsia="en-AU"/>
              </w:rPr>
              <w:t xml:space="preserve"> or generic topics as opposed to a Aeris specific/customized benchmark), technical updates, publications, seminars and conferences, participation in surveys and survey results, and related information and tools.</w:t>
            </w:r>
            <w:bookmarkEnd w:id="25"/>
          </w:p>
        </w:tc>
      </w:tr>
      <w:tr w:rsidR="00631860" w:rsidRPr="00631860" w14:paraId="481FCBA2" w14:textId="77777777" w:rsidTr="00534956">
        <w:trPr>
          <w:trHeight w:val="248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AD656C" w14:textId="77777777" w:rsidR="00631860" w:rsidRPr="00631860" w:rsidRDefault="00631860" w:rsidP="00631860">
            <w:pPr>
              <w:keepNext/>
              <w:keepLines/>
              <w:spacing w:before="100" w:after="100" w:line="276" w:lineRule="auto"/>
              <w:ind w:left="340" w:right="120"/>
              <w:outlineLvl w:val="1"/>
              <w:rPr>
                <w:rFonts w:ascii="Century Gothic" w:eastAsia="Georgia" w:hAnsi="Century Gothic" w:cs="Arial"/>
                <w:szCs w:val="20"/>
                <w:lang w:val="en" w:eastAsia="en-AU"/>
              </w:rPr>
            </w:pPr>
            <w:bookmarkStart w:id="26" w:name="_Toc137643353"/>
            <w:r w:rsidRPr="00631860">
              <w:rPr>
                <w:rFonts w:ascii="Century Gothic" w:eastAsia="Georgia" w:hAnsi="Century Gothic" w:cs="Arial"/>
                <w:szCs w:val="20"/>
                <w:lang w:val="en" w:eastAsia="en-AU"/>
              </w:rPr>
              <w:t>Digital Fitness Assessment (as a General Information Service)</w:t>
            </w:r>
            <w:bookmarkEnd w:id="26"/>
          </w:p>
        </w:tc>
        <w:tc>
          <w:tcPr>
            <w:tcW w:w="6428" w:type="dxa"/>
            <w:tcBorders>
              <w:top w:val="nil"/>
              <w:left w:val="nil"/>
              <w:bottom w:val="single" w:sz="8" w:space="0" w:color="000000"/>
              <w:right w:val="single" w:sz="8" w:space="0" w:color="000000"/>
            </w:tcBorders>
            <w:tcMar>
              <w:top w:w="100" w:type="dxa"/>
              <w:left w:w="100" w:type="dxa"/>
              <w:bottom w:w="100" w:type="dxa"/>
              <w:right w:w="100" w:type="dxa"/>
            </w:tcMar>
            <w:hideMark/>
          </w:tcPr>
          <w:p w14:paraId="6318C3E3" w14:textId="77777777" w:rsidR="00631860" w:rsidRPr="00631860" w:rsidRDefault="00631860" w:rsidP="00631860">
            <w:pPr>
              <w:keepNext/>
              <w:keepLines/>
              <w:spacing w:before="100" w:after="100" w:line="276" w:lineRule="auto"/>
              <w:ind w:left="340" w:right="140"/>
              <w:outlineLvl w:val="1"/>
              <w:rPr>
                <w:rFonts w:ascii="Century Gothic" w:eastAsia="Georgia" w:hAnsi="Century Gothic" w:cs="Arial"/>
                <w:szCs w:val="20"/>
                <w:lang w:val="en" w:eastAsia="en-AU"/>
              </w:rPr>
            </w:pPr>
            <w:bookmarkStart w:id="27" w:name="_Toc137643354"/>
            <w:r w:rsidRPr="00631860">
              <w:rPr>
                <w:rFonts w:ascii="Century Gothic" w:eastAsia="Georgia" w:hAnsi="Century Gothic" w:cs="Arial"/>
                <w:szCs w:val="20"/>
                <w:lang w:val="en" w:eastAsia="en-AU"/>
              </w:rPr>
              <w:t>The General Information Service version of Digital Fitness Assessment is a software application that offers people educational courses to learn skills in digital technology. The assessment functionality allows individual users to complete the assessment and will provide them with their individual assessment results for their own use, without reporting results to Aeris. Individual users are able to select areas of interest and receive personalized suggested learnings based on the results of their assessment and on their stated preferences.</w:t>
            </w:r>
            <w:bookmarkEnd w:id="27"/>
          </w:p>
        </w:tc>
      </w:tr>
      <w:tr w:rsidR="00631860" w:rsidRPr="00631860" w14:paraId="1C246957" w14:textId="77777777" w:rsidTr="00534956">
        <w:trPr>
          <w:trHeight w:val="965"/>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6D3DC79" w14:textId="77777777" w:rsidR="00631860" w:rsidRPr="00631860" w:rsidRDefault="00631860" w:rsidP="00631860">
            <w:pPr>
              <w:keepNext/>
              <w:keepLines/>
              <w:spacing w:before="100" w:after="100" w:line="276" w:lineRule="auto"/>
              <w:ind w:left="340"/>
              <w:outlineLvl w:val="1"/>
              <w:rPr>
                <w:rFonts w:ascii="Century Gothic" w:eastAsia="Georgia" w:hAnsi="Century Gothic" w:cs="Arial"/>
                <w:szCs w:val="20"/>
                <w:lang w:val="en" w:eastAsia="en-AU"/>
              </w:rPr>
            </w:pPr>
            <w:bookmarkStart w:id="28" w:name="_Toc137643355"/>
            <w:r w:rsidRPr="00631860">
              <w:rPr>
                <w:rFonts w:ascii="Century Gothic" w:eastAsia="Georgia" w:hAnsi="Century Gothic" w:cs="Arial"/>
                <w:szCs w:val="20"/>
                <w:lang w:val="en" w:eastAsia="en-AU"/>
              </w:rPr>
              <w:t>Stock Counts</w:t>
            </w:r>
            <w:bookmarkEnd w:id="28"/>
          </w:p>
        </w:tc>
        <w:tc>
          <w:tcPr>
            <w:tcW w:w="6428" w:type="dxa"/>
            <w:tcBorders>
              <w:top w:val="nil"/>
              <w:left w:val="nil"/>
              <w:bottom w:val="single" w:sz="8" w:space="0" w:color="000000"/>
              <w:right w:val="single" w:sz="8" w:space="0" w:color="000000"/>
            </w:tcBorders>
            <w:tcMar>
              <w:top w:w="100" w:type="dxa"/>
              <w:left w:w="100" w:type="dxa"/>
              <w:bottom w:w="100" w:type="dxa"/>
              <w:right w:w="100" w:type="dxa"/>
            </w:tcMar>
          </w:tcPr>
          <w:p w14:paraId="7290128C" w14:textId="7938C2C3" w:rsidR="00631860" w:rsidRPr="00631860" w:rsidRDefault="00631860" w:rsidP="00F767C8">
            <w:pPr>
              <w:keepNext/>
              <w:keepLines/>
              <w:spacing w:before="100" w:after="100" w:line="276" w:lineRule="auto"/>
              <w:ind w:left="340" w:right="140"/>
              <w:outlineLvl w:val="1"/>
              <w:rPr>
                <w:rFonts w:ascii="Century Gothic" w:eastAsia="Arial" w:hAnsi="Century Gothic" w:cs="Arial"/>
                <w:szCs w:val="20"/>
                <w:lang w:val="en" w:eastAsia="en-AU"/>
              </w:rPr>
            </w:pPr>
            <w:bookmarkStart w:id="29" w:name="_Toc137643356"/>
            <w:r w:rsidRPr="00631860">
              <w:rPr>
                <w:rFonts w:ascii="Century Gothic" w:eastAsia="Georgia" w:hAnsi="Century Gothic" w:cs="Arial"/>
                <w:szCs w:val="20"/>
                <w:lang w:val="en" w:eastAsia="en-AU"/>
              </w:rPr>
              <w:t>Stock counts required under regulations for registered investment advisers and private equity funds of the firm.</w:t>
            </w:r>
            <w:bookmarkEnd w:id="29"/>
          </w:p>
        </w:tc>
      </w:tr>
      <w:tr w:rsidR="00631860" w:rsidRPr="00631860" w14:paraId="19EBAAC4" w14:textId="77777777" w:rsidTr="00534956">
        <w:trPr>
          <w:trHeight w:val="650"/>
        </w:trPr>
        <w:tc>
          <w:tcPr>
            <w:tcW w:w="9488" w:type="dxa"/>
            <w:gridSpan w:val="2"/>
            <w:tcBorders>
              <w:top w:val="single" w:sz="4" w:space="0" w:color="auto"/>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BE9F869" w14:textId="77777777" w:rsidR="00631860" w:rsidRPr="00631860" w:rsidRDefault="00631860" w:rsidP="004E4296">
            <w:pPr>
              <w:keepNext/>
              <w:keepLines/>
              <w:spacing w:before="100" w:after="100" w:line="276" w:lineRule="auto"/>
              <w:ind w:left="140"/>
              <w:outlineLvl w:val="1"/>
              <w:rPr>
                <w:rFonts w:ascii="Century Gothic" w:eastAsia="Georgia" w:hAnsi="Century Gothic" w:cs="Arial"/>
                <w:b/>
                <w:szCs w:val="20"/>
                <w:lang w:val="en" w:eastAsia="en-AU"/>
              </w:rPr>
            </w:pPr>
            <w:bookmarkStart w:id="30" w:name="_Toc137643357"/>
            <w:r w:rsidRPr="00631860">
              <w:rPr>
                <w:rFonts w:ascii="Century Gothic" w:eastAsia="Georgia" w:hAnsi="Century Gothic" w:cs="Arial"/>
                <w:b/>
                <w:szCs w:val="20"/>
                <w:lang w:val="en" w:eastAsia="en-AU"/>
              </w:rPr>
              <w:t>Administrative Services</w:t>
            </w:r>
            <w:bookmarkEnd w:id="30"/>
          </w:p>
        </w:tc>
      </w:tr>
      <w:tr w:rsidR="00631860" w:rsidRPr="00631860" w14:paraId="6BF01A68" w14:textId="77777777" w:rsidTr="00534956">
        <w:trPr>
          <w:trHeight w:val="2300"/>
        </w:trPr>
        <w:tc>
          <w:tcPr>
            <w:tcW w:w="3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02D3C9" w14:textId="77777777" w:rsidR="00631860" w:rsidRPr="00631860" w:rsidRDefault="00631860" w:rsidP="00631860">
            <w:pPr>
              <w:keepNext/>
              <w:keepLines/>
              <w:spacing w:before="100" w:after="100" w:line="276" w:lineRule="auto"/>
              <w:ind w:left="320"/>
              <w:outlineLvl w:val="1"/>
              <w:rPr>
                <w:rFonts w:ascii="Century Gothic" w:eastAsia="Georgia" w:hAnsi="Century Gothic" w:cs="Arial"/>
                <w:szCs w:val="20"/>
                <w:lang w:val="en" w:eastAsia="en-AU"/>
              </w:rPr>
            </w:pPr>
            <w:bookmarkStart w:id="31" w:name="_Toc137643358"/>
            <w:r w:rsidRPr="00631860">
              <w:rPr>
                <w:rFonts w:ascii="Century Gothic" w:eastAsia="Georgia" w:hAnsi="Century Gothic" w:cs="Arial"/>
                <w:szCs w:val="20"/>
                <w:lang w:val="en" w:eastAsia="en-AU"/>
              </w:rPr>
              <w:t>Assisting with Routine or Mechanical Tasks Within the Normal Course of Operations</w:t>
            </w:r>
            <w:bookmarkEnd w:id="31"/>
          </w:p>
        </w:tc>
        <w:tc>
          <w:tcPr>
            <w:tcW w:w="64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836A6F" w14:textId="77777777" w:rsidR="00631860" w:rsidRPr="00631860" w:rsidRDefault="00631860" w:rsidP="00631860">
            <w:pPr>
              <w:keepNext/>
              <w:keepLines/>
              <w:spacing w:before="100" w:after="100" w:line="276" w:lineRule="auto"/>
              <w:ind w:left="805" w:hanging="425"/>
              <w:outlineLvl w:val="1"/>
              <w:rPr>
                <w:rFonts w:ascii="Century Gothic" w:eastAsia="Georgia" w:hAnsi="Century Gothic" w:cs="Arial"/>
                <w:szCs w:val="20"/>
                <w:lang w:val="en" w:eastAsia="en-AU"/>
              </w:rPr>
            </w:pPr>
            <w:bookmarkStart w:id="32" w:name="_Toc137643359"/>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r>
            <w:r w:rsidRPr="00631860">
              <w:rPr>
                <w:rFonts w:ascii="Century Gothic" w:eastAsia="Georgia" w:hAnsi="Century Gothic" w:cs="Arial"/>
                <w:szCs w:val="20"/>
                <w:lang w:val="en" w:eastAsia="en-AU"/>
              </w:rPr>
              <w:t>Word processing or document formatting not related to the preparation of the financial statements</w:t>
            </w:r>
            <w:bookmarkEnd w:id="32"/>
          </w:p>
          <w:p w14:paraId="209708CE" w14:textId="77777777" w:rsidR="00631860" w:rsidRPr="00631860" w:rsidRDefault="00631860" w:rsidP="00631860">
            <w:pPr>
              <w:keepNext/>
              <w:keepLines/>
              <w:spacing w:before="100" w:after="100" w:line="276" w:lineRule="auto"/>
              <w:ind w:left="805" w:hanging="425"/>
              <w:outlineLvl w:val="1"/>
              <w:rPr>
                <w:rFonts w:ascii="Century Gothic" w:eastAsia="Georgia" w:hAnsi="Century Gothic" w:cs="Arial"/>
                <w:szCs w:val="20"/>
                <w:lang w:val="en" w:eastAsia="en-AU"/>
              </w:rPr>
            </w:pPr>
            <w:bookmarkStart w:id="33" w:name="_Toc137643360"/>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r>
            <w:r w:rsidRPr="00631860">
              <w:rPr>
                <w:rFonts w:ascii="Century Gothic" w:eastAsia="Georgia" w:hAnsi="Century Gothic" w:cs="Arial"/>
                <w:szCs w:val="20"/>
                <w:lang w:val="en" w:eastAsia="en-AU"/>
              </w:rPr>
              <w:t>Preparing administrative or statutory forms for Aeris approval</w:t>
            </w:r>
            <w:bookmarkEnd w:id="33"/>
          </w:p>
          <w:p w14:paraId="5D399C07" w14:textId="77777777" w:rsidR="00631860" w:rsidRPr="00631860" w:rsidRDefault="00631860" w:rsidP="00631860">
            <w:pPr>
              <w:keepNext/>
              <w:keepLines/>
              <w:spacing w:before="100" w:after="100" w:line="276" w:lineRule="auto"/>
              <w:ind w:left="805" w:hanging="425"/>
              <w:outlineLvl w:val="1"/>
              <w:rPr>
                <w:rFonts w:ascii="Century Gothic" w:eastAsia="Georgia" w:hAnsi="Century Gothic" w:cs="Arial"/>
                <w:szCs w:val="20"/>
                <w:lang w:val="en" w:eastAsia="en-AU"/>
              </w:rPr>
            </w:pPr>
            <w:bookmarkStart w:id="34" w:name="_Toc137643361"/>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r>
            <w:r w:rsidRPr="00631860">
              <w:rPr>
                <w:rFonts w:ascii="Century Gothic" w:eastAsia="Georgia" w:hAnsi="Century Gothic" w:cs="Arial"/>
                <w:szCs w:val="20"/>
                <w:lang w:val="en" w:eastAsia="en-AU"/>
              </w:rPr>
              <w:t>Submitting such forms as instructed by Aeris</w:t>
            </w:r>
            <w:bookmarkEnd w:id="34"/>
          </w:p>
          <w:p w14:paraId="20B8C87D" w14:textId="12436C20" w:rsidR="00631860" w:rsidRPr="00631860" w:rsidRDefault="00631860" w:rsidP="00F767C8">
            <w:pPr>
              <w:keepNext/>
              <w:keepLines/>
              <w:spacing w:before="100" w:after="100" w:line="276" w:lineRule="auto"/>
              <w:ind w:left="805" w:hanging="425"/>
              <w:outlineLvl w:val="1"/>
              <w:rPr>
                <w:rFonts w:ascii="Century Gothic" w:eastAsia="Arial" w:hAnsi="Century Gothic" w:cs="Arial"/>
                <w:szCs w:val="20"/>
                <w:lang w:val="en" w:eastAsia="en-AU"/>
              </w:rPr>
            </w:pPr>
            <w:bookmarkStart w:id="35" w:name="_Toc137643362"/>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r>
            <w:r w:rsidRPr="00631860">
              <w:rPr>
                <w:rFonts w:ascii="Century Gothic" w:eastAsia="Georgia" w:hAnsi="Century Gothic" w:cs="Arial"/>
                <w:szCs w:val="20"/>
                <w:lang w:val="en" w:eastAsia="en-AU"/>
              </w:rPr>
              <w:t>Monitoring statutory filing dates and advising Aeris of those dates</w:t>
            </w:r>
            <w:r w:rsidR="00F767C8">
              <w:rPr>
                <w:rFonts w:ascii="Century Gothic" w:eastAsia="Georgia" w:hAnsi="Century Gothic" w:cs="Arial"/>
                <w:szCs w:val="20"/>
                <w:lang w:val="en" w:eastAsia="en-AU"/>
              </w:rPr>
              <w:t>.</w:t>
            </w:r>
            <w:bookmarkEnd w:id="35"/>
          </w:p>
        </w:tc>
      </w:tr>
    </w:tbl>
    <w:p w14:paraId="7531EE0E" w14:textId="77777777" w:rsidR="00631860" w:rsidRPr="00631860" w:rsidRDefault="00631860" w:rsidP="00631860">
      <w:pPr>
        <w:spacing w:line="276" w:lineRule="auto"/>
        <w:rPr>
          <w:rFonts w:ascii="Century Gothic" w:eastAsia="Arial" w:hAnsi="Century Gothic" w:cs="Arial"/>
          <w:szCs w:val="20"/>
          <w:lang w:val="en" w:eastAsia="en-AU"/>
        </w:rPr>
      </w:pPr>
      <w:r w:rsidRPr="00631860">
        <w:rPr>
          <w:rFonts w:ascii="Century Gothic" w:eastAsia="Arial" w:hAnsi="Century Gothic" w:cs="Arial"/>
          <w:szCs w:val="20"/>
          <w:lang w:val="en" w:eastAsia="en-AU"/>
        </w:rP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6428"/>
      </w:tblGrid>
      <w:tr w:rsidR="00631860" w:rsidRPr="00631860" w14:paraId="1FDD9F83" w14:textId="77777777" w:rsidTr="00F767C8">
        <w:trPr>
          <w:trHeight w:val="650"/>
        </w:trPr>
        <w:tc>
          <w:tcPr>
            <w:tcW w:w="9488" w:type="dxa"/>
            <w:gridSpan w:val="2"/>
            <w:shd w:val="clear" w:color="auto" w:fill="EFEFEF"/>
            <w:tcMar>
              <w:top w:w="100" w:type="dxa"/>
              <w:left w:w="100" w:type="dxa"/>
              <w:bottom w:w="100" w:type="dxa"/>
              <w:right w:w="100" w:type="dxa"/>
            </w:tcMar>
            <w:hideMark/>
          </w:tcPr>
          <w:p w14:paraId="17868D0B" w14:textId="77777777" w:rsidR="00631860" w:rsidRPr="00631860" w:rsidRDefault="00631860" w:rsidP="004E4296">
            <w:pPr>
              <w:keepNext/>
              <w:keepLines/>
              <w:spacing w:before="100" w:after="100" w:line="276" w:lineRule="auto"/>
              <w:ind w:left="140"/>
              <w:outlineLvl w:val="1"/>
              <w:rPr>
                <w:rFonts w:ascii="Century Gothic" w:eastAsia="Georgia" w:hAnsi="Century Gothic" w:cs="Arial"/>
                <w:b/>
                <w:szCs w:val="20"/>
                <w:lang w:val="en" w:eastAsia="en-AU"/>
              </w:rPr>
            </w:pPr>
            <w:bookmarkStart w:id="36" w:name="_Toc137643363"/>
            <w:r w:rsidRPr="00631860">
              <w:rPr>
                <w:rFonts w:ascii="Century Gothic" w:eastAsia="Georgia" w:hAnsi="Century Gothic" w:cs="Arial"/>
                <w:b/>
                <w:szCs w:val="20"/>
                <w:lang w:val="en" w:eastAsia="en-AU"/>
              </w:rPr>
              <w:lastRenderedPageBreak/>
              <w:t>Tax Services</w:t>
            </w:r>
            <w:bookmarkEnd w:id="36"/>
          </w:p>
        </w:tc>
      </w:tr>
      <w:tr w:rsidR="00631860" w:rsidRPr="00631860" w14:paraId="0F10ED9E" w14:textId="77777777" w:rsidTr="00F767C8">
        <w:trPr>
          <w:trHeight w:val="4400"/>
        </w:trPr>
        <w:tc>
          <w:tcPr>
            <w:tcW w:w="3060" w:type="dxa"/>
            <w:tcMar>
              <w:top w:w="100" w:type="dxa"/>
              <w:left w:w="100" w:type="dxa"/>
              <w:bottom w:w="100" w:type="dxa"/>
              <w:right w:w="100" w:type="dxa"/>
            </w:tcMar>
            <w:hideMark/>
          </w:tcPr>
          <w:p w14:paraId="143D2721" w14:textId="77777777" w:rsidR="00631860" w:rsidRPr="00631860" w:rsidRDefault="00631860" w:rsidP="00631860">
            <w:pPr>
              <w:keepNext/>
              <w:keepLines/>
              <w:spacing w:before="100" w:after="100" w:line="276" w:lineRule="auto"/>
              <w:ind w:left="340"/>
              <w:outlineLvl w:val="1"/>
              <w:rPr>
                <w:rFonts w:ascii="Century Gothic" w:eastAsia="Georgia" w:hAnsi="Century Gothic" w:cs="Arial"/>
                <w:szCs w:val="20"/>
                <w:lang w:val="en" w:eastAsia="en-AU"/>
              </w:rPr>
            </w:pPr>
            <w:bookmarkStart w:id="37" w:name="_Toc137643364"/>
            <w:r w:rsidRPr="00631860">
              <w:rPr>
                <w:rFonts w:ascii="Century Gothic" w:eastAsia="Georgia" w:hAnsi="Century Gothic" w:cs="Arial"/>
                <w:szCs w:val="20"/>
                <w:lang w:val="en" w:eastAsia="en-AU"/>
              </w:rPr>
              <w:t>Tax Compliance Services</w:t>
            </w:r>
            <w:bookmarkEnd w:id="37"/>
          </w:p>
        </w:tc>
        <w:tc>
          <w:tcPr>
            <w:tcW w:w="6428" w:type="dxa"/>
            <w:tcMar>
              <w:top w:w="100" w:type="dxa"/>
              <w:left w:w="100" w:type="dxa"/>
              <w:bottom w:w="100" w:type="dxa"/>
              <w:right w:w="100" w:type="dxa"/>
            </w:tcMar>
          </w:tcPr>
          <w:p w14:paraId="0912DBDB" w14:textId="77777777" w:rsidR="00631860" w:rsidRPr="00631860" w:rsidRDefault="00631860" w:rsidP="004E4296">
            <w:pPr>
              <w:numPr>
                <w:ilvl w:val="0"/>
                <w:numId w:val="23"/>
              </w:numPr>
              <w:spacing w:after="80" w:line="276" w:lineRule="auto"/>
              <w:ind w:left="664" w:right="51" w:hanging="284"/>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Preparation and/or review and </w:t>
            </w:r>
            <w:proofErr w:type="spellStart"/>
            <w:r w:rsidRPr="00631860">
              <w:rPr>
                <w:rFonts w:ascii="Century Gothic" w:eastAsia="Gungsuh" w:hAnsi="Century Gothic" w:cs="Arial"/>
                <w:szCs w:val="20"/>
                <w:lang w:val="en" w:eastAsia="en-AU"/>
              </w:rPr>
              <w:t>lodgement</w:t>
            </w:r>
            <w:proofErr w:type="spellEnd"/>
            <w:r w:rsidRPr="00631860">
              <w:rPr>
                <w:rFonts w:ascii="Century Gothic" w:eastAsia="Gungsuh" w:hAnsi="Century Gothic" w:cs="Arial"/>
                <w:szCs w:val="20"/>
                <w:lang w:val="en" w:eastAsia="en-AU"/>
              </w:rPr>
              <w:t xml:space="preserve"> of tax compliance filings, including but not limited to:</w:t>
            </w:r>
          </w:p>
          <w:p w14:paraId="3389233F" w14:textId="77777777" w:rsidR="00631860" w:rsidRPr="00631860" w:rsidRDefault="00631860" w:rsidP="00631860">
            <w:pPr>
              <w:numPr>
                <w:ilvl w:val="1"/>
                <w:numId w:val="23"/>
              </w:numPr>
              <w:spacing w:after="80" w:line="276" w:lineRule="auto"/>
              <w:ind w:left="1089" w:right="51"/>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Preparation and/or review and </w:t>
            </w:r>
            <w:proofErr w:type="spellStart"/>
            <w:r w:rsidRPr="00631860">
              <w:rPr>
                <w:rFonts w:ascii="Century Gothic" w:eastAsia="Gungsuh" w:hAnsi="Century Gothic" w:cs="Arial"/>
                <w:szCs w:val="20"/>
                <w:lang w:val="en" w:eastAsia="en-AU"/>
              </w:rPr>
              <w:t>lodgement</w:t>
            </w:r>
            <w:proofErr w:type="spellEnd"/>
            <w:r w:rsidRPr="00631860">
              <w:rPr>
                <w:rFonts w:ascii="Century Gothic" w:eastAsia="Gungsuh" w:hAnsi="Century Gothic" w:cs="Arial"/>
                <w:szCs w:val="20"/>
                <w:lang w:val="en" w:eastAsia="en-AU"/>
              </w:rPr>
              <w:t xml:space="preserve"> of income tax return compliance filings</w:t>
            </w:r>
          </w:p>
          <w:p w14:paraId="2F19F4B1" w14:textId="77777777" w:rsidR="00631860" w:rsidRPr="00631860" w:rsidRDefault="00631860" w:rsidP="00631860">
            <w:pPr>
              <w:numPr>
                <w:ilvl w:val="1"/>
                <w:numId w:val="23"/>
              </w:numPr>
              <w:spacing w:after="80" w:line="276" w:lineRule="auto"/>
              <w:ind w:left="1089" w:right="51"/>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Preparation and/or review and </w:t>
            </w:r>
            <w:proofErr w:type="spellStart"/>
            <w:r w:rsidRPr="00631860">
              <w:rPr>
                <w:rFonts w:ascii="Century Gothic" w:eastAsia="Gungsuh" w:hAnsi="Century Gothic" w:cs="Arial"/>
                <w:szCs w:val="20"/>
                <w:lang w:val="en" w:eastAsia="en-AU"/>
              </w:rPr>
              <w:t>lodgement</w:t>
            </w:r>
            <w:proofErr w:type="spellEnd"/>
            <w:r w:rsidRPr="00631860">
              <w:rPr>
                <w:rFonts w:ascii="Century Gothic" w:eastAsia="Gungsuh" w:hAnsi="Century Gothic" w:cs="Arial"/>
                <w:szCs w:val="20"/>
                <w:lang w:val="en" w:eastAsia="en-AU"/>
              </w:rPr>
              <w:t xml:space="preserve"> of Fringe Benefits Tax (FBT) return compliance filings</w:t>
            </w:r>
          </w:p>
          <w:p w14:paraId="11CCE4BF" w14:textId="77777777" w:rsidR="00631860" w:rsidRPr="00631860" w:rsidRDefault="00631860" w:rsidP="00631860">
            <w:pPr>
              <w:numPr>
                <w:ilvl w:val="1"/>
                <w:numId w:val="23"/>
              </w:numPr>
              <w:spacing w:after="80" w:line="276" w:lineRule="auto"/>
              <w:ind w:left="1089" w:right="51"/>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Preparation and / or review and </w:t>
            </w:r>
            <w:proofErr w:type="spellStart"/>
            <w:r w:rsidRPr="00631860">
              <w:rPr>
                <w:rFonts w:ascii="Century Gothic" w:eastAsia="Gungsuh" w:hAnsi="Century Gothic" w:cs="Arial"/>
                <w:szCs w:val="20"/>
                <w:lang w:val="en" w:eastAsia="en-AU"/>
              </w:rPr>
              <w:t>lodgement</w:t>
            </w:r>
            <w:proofErr w:type="spellEnd"/>
            <w:r w:rsidRPr="00631860">
              <w:rPr>
                <w:rFonts w:ascii="Century Gothic" w:eastAsia="Gungsuh" w:hAnsi="Century Gothic" w:cs="Arial"/>
                <w:szCs w:val="20"/>
                <w:lang w:val="en" w:eastAsia="en-AU"/>
              </w:rPr>
              <w:t xml:space="preserve"> of Business Activity Statement (BAS) compliance filings</w:t>
            </w:r>
          </w:p>
          <w:p w14:paraId="7C7040EF" w14:textId="77777777" w:rsidR="00631860" w:rsidRPr="00631860" w:rsidRDefault="00631860" w:rsidP="00631860">
            <w:pPr>
              <w:numPr>
                <w:ilvl w:val="1"/>
                <w:numId w:val="23"/>
              </w:numPr>
              <w:spacing w:after="80" w:line="276" w:lineRule="auto"/>
              <w:ind w:left="1089" w:right="51"/>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Amendment of above mentioned returned as </w:t>
            </w:r>
            <w:proofErr w:type="gramStart"/>
            <w:r w:rsidRPr="00631860">
              <w:rPr>
                <w:rFonts w:ascii="Century Gothic" w:eastAsia="Gungsuh" w:hAnsi="Century Gothic" w:cs="Arial"/>
                <w:szCs w:val="20"/>
                <w:lang w:val="en" w:eastAsia="en-AU"/>
              </w:rPr>
              <w:t>required</w:t>
            </w:r>
            <w:proofErr w:type="gramEnd"/>
          </w:p>
          <w:p w14:paraId="797810F3" w14:textId="77777777" w:rsidR="00631860" w:rsidRPr="00631860" w:rsidRDefault="00631860" w:rsidP="00631860">
            <w:pPr>
              <w:keepNext/>
              <w:keepLines/>
              <w:numPr>
                <w:ilvl w:val="1"/>
                <w:numId w:val="23"/>
              </w:numPr>
              <w:spacing w:after="80" w:line="276" w:lineRule="auto"/>
              <w:ind w:left="1089" w:right="51"/>
              <w:outlineLvl w:val="1"/>
              <w:rPr>
                <w:rFonts w:ascii="Century Gothic" w:eastAsia="Gungsuh" w:hAnsi="Century Gothic" w:cs="Arial"/>
                <w:szCs w:val="20"/>
                <w:lang w:val="en" w:eastAsia="en-AU"/>
              </w:rPr>
            </w:pPr>
            <w:bookmarkStart w:id="38" w:name="_Toc137643365"/>
            <w:r w:rsidRPr="00631860">
              <w:rPr>
                <w:rFonts w:ascii="Century Gothic" w:eastAsia="Gungsuh" w:hAnsi="Century Gothic" w:cs="Arial"/>
                <w:szCs w:val="20"/>
                <w:lang w:val="en" w:eastAsia="en-AU"/>
              </w:rPr>
              <w:t xml:space="preserve">Review of half year and </w:t>
            </w:r>
            <w:proofErr w:type="spellStart"/>
            <w:r w:rsidRPr="00631860">
              <w:rPr>
                <w:rFonts w:ascii="Century Gothic" w:eastAsia="Gungsuh" w:hAnsi="Century Gothic" w:cs="Arial"/>
                <w:szCs w:val="20"/>
                <w:lang w:val="en" w:eastAsia="en-AU"/>
              </w:rPr>
              <w:t>year end</w:t>
            </w:r>
            <w:proofErr w:type="spellEnd"/>
            <w:r w:rsidRPr="00631860">
              <w:rPr>
                <w:rFonts w:ascii="Century Gothic" w:eastAsia="Gungsuh" w:hAnsi="Century Gothic" w:cs="Arial"/>
                <w:szCs w:val="20"/>
                <w:lang w:val="en" w:eastAsia="en-AU"/>
              </w:rPr>
              <w:t xml:space="preserve"> tax effect accounting calculations</w:t>
            </w:r>
            <w:bookmarkEnd w:id="38"/>
          </w:p>
          <w:p w14:paraId="0E2F2B7F" w14:textId="77777777" w:rsidR="00631860" w:rsidRPr="00631860" w:rsidRDefault="00631860" w:rsidP="00631860">
            <w:pPr>
              <w:numPr>
                <w:ilvl w:val="0"/>
                <w:numId w:val="23"/>
              </w:numPr>
              <w:spacing w:after="80" w:line="276" w:lineRule="auto"/>
              <w:ind w:right="51" w:hanging="340"/>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Assistance with Australian Taxation Office (ATO) examinations / reviews, where required.</w:t>
            </w:r>
            <w:r w:rsidRPr="00631860">
              <w:rPr>
                <w:rFonts w:ascii="Century Gothic" w:eastAsia="Gungsuh" w:hAnsi="Century Gothic" w:cs="Arial"/>
                <w:szCs w:val="20"/>
                <w:lang w:val="en" w:eastAsia="en-AU"/>
              </w:rPr>
              <w:tab/>
            </w:r>
          </w:p>
          <w:p w14:paraId="42A46C4C" w14:textId="77777777" w:rsidR="00631860" w:rsidRPr="00631860" w:rsidRDefault="00631860" w:rsidP="00631860">
            <w:pPr>
              <w:keepNext/>
              <w:keepLines/>
              <w:numPr>
                <w:ilvl w:val="0"/>
                <w:numId w:val="23"/>
              </w:numPr>
              <w:spacing w:after="80" w:line="276" w:lineRule="auto"/>
              <w:ind w:right="51" w:hanging="340"/>
              <w:outlineLvl w:val="1"/>
              <w:rPr>
                <w:rFonts w:ascii="Century Gothic" w:eastAsia="Gungsuh" w:hAnsi="Century Gothic" w:cs="Arial"/>
                <w:szCs w:val="20"/>
                <w:lang w:val="en" w:eastAsia="en-AU"/>
              </w:rPr>
            </w:pPr>
            <w:bookmarkStart w:id="39" w:name="_Toc137643366"/>
            <w:r w:rsidRPr="00631860">
              <w:rPr>
                <w:rFonts w:ascii="Century Gothic" w:eastAsia="Gungsuh" w:hAnsi="Century Gothic" w:cs="Arial"/>
                <w:szCs w:val="20"/>
                <w:lang w:val="en" w:eastAsia="en-AU"/>
              </w:rPr>
              <w:t xml:space="preserve">Correspondence with the ATO on tax matters and forwarding ATO correspondence as </w:t>
            </w:r>
            <w:proofErr w:type="gramStart"/>
            <w:r w:rsidRPr="00631860">
              <w:rPr>
                <w:rFonts w:ascii="Century Gothic" w:eastAsia="Gungsuh" w:hAnsi="Century Gothic" w:cs="Arial"/>
                <w:szCs w:val="20"/>
                <w:lang w:val="en" w:eastAsia="en-AU"/>
              </w:rPr>
              <w:t>required</w:t>
            </w:r>
            <w:bookmarkEnd w:id="39"/>
            <w:proofErr w:type="gramEnd"/>
          </w:p>
          <w:p w14:paraId="38DB6C30" w14:textId="77777777" w:rsidR="00631860" w:rsidRPr="00631860" w:rsidRDefault="00631860" w:rsidP="00631860">
            <w:pPr>
              <w:keepNext/>
              <w:keepLines/>
              <w:numPr>
                <w:ilvl w:val="0"/>
                <w:numId w:val="23"/>
              </w:numPr>
              <w:spacing w:after="80" w:line="276" w:lineRule="auto"/>
              <w:ind w:left="380" w:right="51" w:firstLine="0"/>
              <w:outlineLvl w:val="1"/>
              <w:rPr>
                <w:rFonts w:ascii="Century Gothic" w:eastAsia="Gungsuh" w:hAnsi="Century Gothic" w:cs="Arial"/>
                <w:szCs w:val="20"/>
                <w:lang w:val="en" w:eastAsia="en-AU"/>
              </w:rPr>
            </w:pPr>
            <w:bookmarkStart w:id="40" w:name="_Toc137643367"/>
            <w:r w:rsidRPr="00631860">
              <w:rPr>
                <w:rFonts w:ascii="Century Gothic" w:eastAsia="Gungsuh" w:hAnsi="Century Gothic" w:cs="Arial"/>
                <w:szCs w:val="20"/>
                <w:lang w:val="en" w:eastAsia="en-AU"/>
              </w:rPr>
              <w:t>International/Global Tax Compliance (Recurring)</w:t>
            </w:r>
            <w:bookmarkEnd w:id="40"/>
          </w:p>
          <w:p w14:paraId="54D23957" w14:textId="77777777" w:rsidR="00631860" w:rsidRPr="00631860" w:rsidRDefault="00631860" w:rsidP="00631860">
            <w:pPr>
              <w:keepNext/>
              <w:keepLines/>
              <w:spacing w:after="80"/>
              <w:ind w:left="380" w:right="51"/>
              <w:outlineLvl w:val="1"/>
              <w:rPr>
                <w:rFonts w:ascii="Century Gothic" w:eastAsia="Gungsuh" w:hAnsi="Century Gothic" w:cs="Arial"/>
                <w:szCs w:val="20"/>
                <w:lang w:val="en" w:eastAsia="en-AU"/>
              </w:rPr>
            </w:pPr>
            <w:bookmarkStart w:id="41" w:name="_Toc137643368"/>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t>Customs and Duties - Compliance</w:t>
            </w:r>
            <w:bookmarkEnd w:id="41"/>
          </w:p>
          <w:p w14:paraId="1FEE9886" w14:textId="77777777" w:rsidR="00631860" w:rsidRPr="00631860" w:rsidRDefault="00631860" w:rsidP="00631860">
            <w:pPr>
              <w:keepNext/>
              <w:keepLines/>
              <w:spacing w:after="80"/>
              <w:ind w:left="380" w:right="51"/>
              <w:outlineLvl w:val="1"/>
              <w:rPr>
                <w:rFonts w:ascii="Century Gothic" w:eastAsia="Gungsuh" w:hAnsi="Century Gothic" w:cs="Arial"/>
                <w:szCs w:val="20"/>
                <w:lang w:val="en" w:eastAsia="en-AU"/>
              </w:rPr>
            </w:pPr>
            <w:bookmarkStart w:id="42" w:name="_Toc137643369"/>
            <w:r w:rsidRPr="00631860">
              <w:rPr>
                <w:rFonts w:ascii="Century Gothic" w:eastAsia="Gungsuh" w:hAnsi="Century Gothic" w:cs="Arial"/>
                <w:szCs w:val="20"/>
                <w:lang w:val="en" w:eastAsia="en-AU"/>
              </w:rPr>
              <w:t>●</w:t>
            </w:r>
            <w:r w:rsidRPr="00631860">
              <w:rPr>
                <w:rFonts w:ascii="Century Gothic" w:eastAsia="Gungsuh" w:hAnsi="Century Gothic" w:cs="Arial"/>
                <w:szCs w:val="20"/>
                <w:lang w:val="en" w:eastAsia="en-AU"/>
              </w:rPr>
              <w:tab/>
              <w:t>Other Indirect Taxes - Compliance</w:t>
            </w:r>
            <w:bookmarkEnd w:id="42"/>
          </w:p>
          <w:p w14:paraId="1F5DFEF5" w14:textId="77777777" w:rsidR="00631860" w:rsidRPr="00631860" w:rsidRDefault="00631860" w:rsidP="00631860">
            <w:pPr>
              <w:numPr>
                <w:ilvl w:val="0"/>
                <w:numId w:val="24"/>
              </w:numPr>
              <w:spacing w:after="80" w:line="276" w:lineRule="auto"/>
              <w:ind w:left="380" w:right="51" w:firstLine="0"/>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Research &amp; Development compliance</w:t>
            </w:r>
          </w:p>
          <w:p w14:paraId="740AD245" w14:textId="77777777" w:rsidR="00631860" w:rsidRPr="00631860" w:rsidRDefault="00631860" w:rsidP="00631860">
            <w:pPr>
              <w:numPr>
                <w:ilvl w:val="0"/>
                <w:numId w:val="24"/>
              </w:numPr>
              <w:spacing w:after="80" w:line="276" w:lineRule="auto"/>
              <w:ind w:right="51" w:hanging="340"/>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 xml:space="preserve">Preparation and/or review and </w:t>
            </w:r>
            <w:proofErr w:type="spellStart"/>
            <w:r w:rsidRPr="00631860">
              <w:rPr>
                <w:rFonts w:ascii="Century Gothic" w:eastAsia="Gungsuh" w:hAnsi="Century Gothic" w:cs="Arial"/>
                <w:szCs w:val="20"/>
                <w:lang w:val="en" w:eastAsia="en-AU"/>
              </w:rPr>
              <w:t>lodgement</w:t>
            </w:r>
            <w:proofErr w:type="spellEnd"/>
            <w:r w:rsidRPr="00631860">
              <w:rPr>
                <w:rFonts w:ascii="Century Gothic" w:eastAsia="Gungsuh" w:hAnsi="Century Gothic" w:cs="Arial"/>
                <w:szCs w:val="20"/>
                <w:lang w:val="en" w:eastAsia="en-AU"/>
              </w:rPr>
              <w:t xml:space="preserve"> of state and local tax compliance filings</w:t>
            </w:r>
          </w:p>
          <w:p w14:paraId="5E319607" w14:textId="77777777" w:rsidR="00631860" w:rsidRPr="00631860" w:rsidRDefault="00631860" w:rsidP="00631860">
            <w:pPr>
              <w:numPr>
                <w:ilvl w:val="0"/>
                <w:numId w:val="25"/>
              </w:numPr>
              <w:spacing w:after="80" w:line="276" w:lineRule="auto"/>
              <w:ind w:left="380" w:right="51" w:firstLine="0"/>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Financial Acquisitions Threshold analysis and calculations</w:t>
            </w:r>
          </w:p>
          <w:p w14:paraId="2F557937" w14:textId="77777777" w:rsidR="00631860" w:rsidRPr="00631860" w:rsidRDefault="00631860" w:rsidP="00631860">
            <w:pPr>
              <w:keepNext/>
              <w:keepLines/>
              <w:numPr>
                <w:ilvl w:val="0"/>
                <w:numId w:val="26"/>
              </w:numPr>
              <w:spacing w:after="80" w:line="276" w:lineRule="auto"/>
              <w:ind w:left="380" w:right="51" w:firstLine="0"/>
              <w:outlineLvl w:val="1"/>
              <w:rPr>
                <w:rFonts w:ascii="Century Gothic" w:eastAsia="Gungsuh" w:hAnsi="Century Gothic" w:cs="Arial"/>
                <w:szCs w:val="20"/>
                <w:lang w:val="en" w:eastAsia="en-AU"/>
              </w:rPr>
            </w:pPr>
            <w:bookmarkStart w:id="43" w:name="_Toc137643370"/>
            <w:r w:rsidRPr="00631860">
              <w:rPr>
                <w:rFonts w:ascii="Century Gothic" w:eastAsia="Gungsuh" w:hAnsi="Century Gothic" w:cs="Arial"/>
                <w:szCs w:val="20"/>
                <w:lang w:val="en" w:eastAsia="en-AU"/>
              </w:rPr>
              <w:t>Tax Governance, including:</w:t>
            </w:r>
            <w:bookmarkEnd w:id="43"/>
          </w:p>
          <w:p w14:paraId="3EFF2129" w14:textId="77777777" w:rsidR="004E4296" w:rsidRDefault="00631860" w:rsidP="004E4296">
            <w:pPr>
              <w:numPr>
                <w:ilvl w:val="1"/>
                <w:numId w:val="23"/>
              </w:numPr>
              <w:spacing w:after="80" w:line="276" w:lineRule="auto"/>
              <w:ind w:left="1089" w:right="51"/>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Review of Tax Governance framework and tax policies</w:t>
            </w:r>
          </w:p>
          <w:p w14:paraId="405B7128" w14:textId="16D9DCFA" w:rsidR="00631860" w:rsidRPr="004E4296" w:rsidRDefault="00631860" w:rsidP="004E4296">
            <w:pPr>
              <w:numPr>
                <w:ilvl w:val="1"/>
                <w:numId w:val="23"/>
              </w:numPr>
              <w:spacing w:after="80" w:line="276" w:lineRule="auto"/>
              <w:ind w:left="1089" w:right="51"/>
              <w:rPr>
                <w:rFonts w:ascii="Century Gothic" w:eastAsia="Gungsuh" w:hAnsi="Century Gothic" w:cs="Arial"/>
                <w:szCs w:val="20"/>
                <w:lang w:val="en" w:eastAsia="en-AU"/>
              </w:rPr>
            </w:pPr>
            <w:r w:rsidRPr="004E4296">
              <w:rPr>
                <w:rFonts w:ascii="Century Gothic" w:eastAsia="Gungsuh" w:hAnsi="Century Gothic" w:cs="Arial"/>
                <w:szCs w:val="20"/>
                <w:lang w:val="en" w:eastAsia="en-AU"/>
              </w:rPr>
              <w:t>Provide recommendations for best practice approach to Tax Governance frameworks</w:t>
            </w:r>
            <w:r w:rsidR="00F767C8" w:rsidRPr="004E4296">
              <w:rPr>
                <w:rFonts w:ascii="Century Gothic" w:eastAsia="Gungsuh" w:hAnsi="Century Gothic" w:cs="Arial"/>
                <w:szCs w:val="20"/>
                <w:lang w:val="en" w:eastAsia="en-AU"/>
              </w:rPr>
              <w:t>.</w:t>
            </w:r>
          </w:p>
        </w:tc>
      </w:tr>
      <w:tr w:rsidR="00631860" w:rsidRPr="00631860" w14:paraId="55E554D9" w14:textId="77777777" w:rsidTr="00F767C8">
        <w:trPr>
          <w:trHeight w:val="1475"/>
        </w:trPr>
        <w:tc>
          <w:tcPr>
            <w:tcW w:w="3060" w:type="dxa"/>
            <w:tcMar>
              <w:top w:w="100" w:type="dxa"/>
              <w:left w:w="100" w:type="dxa"/>
              <w:bottom w:w="100" w:type="dxa"/>
              <w:right w:w="100" w:type="dxa"/>
            </w:tcMar>
            <w:hideMark/>
          </w:tcPr>
          <w:p w14:paraId="177870F6" w14:textId="77777777" w:rsidR="00631860" w:rsidRPr="00631860" w:rsidRDefault="00631860" w:rsidP="004E4296">
            <w:pPr>
              <w:keepNext/>
              <w:keepLines/>
              <w:spacing w:before="100" w:after="100"/>
              <w:ind w:left="340" w:right="135"/>
              <w:outlineLvl w:val="1"/>
              <w:rPr>
                <w:rFonts w:ascii="Century Gothic" w:eastAsia="Georgia" w:hAnsi="Century Gothic" w:cs="Arial"/>
                <w:szCs w:val="20"/>
                <w:lang w:val="en" w:eastAsia="en-AU"/>
              </w:rPr>
            </w:pPr>
            <w:bookmarkStart w:id="44" w:name="_vvfy0zoccnda"/>
            <w:bookmarkStart w:id="45" w:name="_cibt4z4osryi"/>
            <w:bookmarkStart w:id="46" w:name="_qjb40dvo91ry"/>
            <w:bookmarkStart w:id="47" w:name="_h3id4wkvealo"/>
            <w:bookmarkStart w:id="48" w:name="_wdmz7fbmj1c4"/>
            <w:bookmarkStart w:id="49" w:name="_Toc137643371"/>
            <w:bookmarkEnd w:id="44"/>
            <w:bookmarkEnd w:id="45"/>
            <w:bookmarkEnd w:id="46"/>
            <w:bookmarkEnd w:id="47"/>
            <w:bookmarkEnd w:id="48"/>
            <w:r w:rsidRPr="00631860">
              <w:rPr>
                <w:rFonts w:ascii="Century Gothic" w:eastAsia="Georgia" w:hAnsi="Century Gothic" w:cs="Arial"/>
                <w:szCs w:val="20"/>
                <w:lang w:val="en" w:eastAsia="en-AU"/>
              </w:rPr>
              <w:t>Individual Tax Services</w:t>
            </w:r>
            <w:bookmarkEnd w:id="49"/>
            <w:r w:rsidRPr="00631860">
              <w:rPr>
                <w:rFonts w:ascii="Century Gothic" w:eastAsia="Georgia" w:hAnsi="Century Gothic" w:cs="Arial"/>
                <w:szCs w:val="20"/>
                <w:lang w:val="en" w:eastAsia="en-AU"/>
              </w:rPr>
              <w:t xml:space="preserve"> </w:t>
            </w:r>
          </w:p>
        </w:tc>
        <w:tc>
          <w:tcPr>
            <w:tcW w:w="6428" w:type="dxa"/>
            <w:tcMar>
              <w:top w:w="100" w:type="dxa"/>
              <w:left w:w="100" w:type="dxa"/>
              <w:bottom w:w="100" w:type="dxa"/>
              <w:right w:w="100" w:type="dxa"/>
            </w:tcMar>
            <w:hideMark/>
          </w:tcPr>
          <w:p w14:paraId="6DD4C38D" w14:textId="77777777" w:rsidR="004E4296" w:rsidRDefault="00631860" w:rsidP="004E4296">
            <w:pPr>
              <w:numPr>
                <w:ilvl w:val="0"/>
                <w:numId w:val="23"/>
              </w:numPr>
              <w:spacing w:after="80" w:line="276" w:lineRule="auto"/>
              <w:ind w:left="664" w:right="51" w:hanging="284"/>
              <w:rPr>
                <w:rFonts w:ascii="Century Gothic" w:eastAsia="Gungsuh" w:hAnsi="Century Gothic" w:cs="Arial"/>
                <w:szCs w:val="20"/>
                <w:lang w:val="en" w:eastAsia="en-AU"/>
              </w:rPr>
            </w:pPr>
            <w:r w:rsidRPr="00631860">
              <w:rPr>
                <w:rFonts w:ascii="Century Gothic" w:eastAsia="Gungsuh" w:hAnsi="Century Gothic" w:cs="Arial"/>
                <w:szCs w:val="20"/>
                <w:lang w:val="en" w:eastAsia="en-AU"/>
              </w:rPr>
              <w:t>Preparation of individual income tax returns</w:t>
            </w:r>
          </w:p>
          <w:p w14:paraId="40CB64C3" w14:textId="68ADC7BE" w:rsidR="00631860" w:rsidRPr="004E4296" w:rsidRDefault="00631860" w:rsidP="004E4296">
            <w:pPr>
              <w:numPr>
                <w:ilvl w:val="0"/>
                <w:numId w:val="23"/>
              </w:numPr>
              <w:spacing w:after="80" w:line="276" w:lineRule="auto"/>
              <w:ind w:left="664" w:right="51" w:hanging="284"/>
              <w:rPr>
                <w:rFonts w:ascii="Century Gothic" w:eastAsia="Gungsuh" w:hAnsi="Century Gothic" w:cs="Arial"/>
                <w:szCs w:val="20"/>
                <w:lang w:val="en" w:eastAsia="en-AU"/>
              </w:rPr>
            </w:pPr>
            <w:r w:rsidRPr="004E4296">
              <w:rPr>
                <w:rFonts w:ascii="Century Gothic" w:eastAsia="Gungsuh" w:hAnsi="Century Gothic" w:cs="Arial"/>
                <w:szCs w:val="20"/>
                <w:lang w:val="en" w:eastAsia="en-AU"/>
              </w:rPr>
              <w:t>Advice on impact of changes in local tax laws and consequences of changes in compensation programs and practices</w:t>
            </w:r>
          </w:p>
        </w:tc>
      </w:tr>
      <w:tr w:rsidR="00631860" w:rsidRPr="00631860" w14:paraId="54A9192E" w14:textId="77777777" w:rsidTr="00F767C8">
        <w:trPr>
          <w:trHeight w:val="1475"/>
        </w:trPr>
        <w:tc>
          <w:tcPr>
            <w:tcW w:w="3060" w:type="dxa"/>
            <w:tcMar>
              <w:top w:w="100" w:type="dxa"/>
              <w:left w:w="100" w:type="dxa"/>
              <w:bottom w:w="100" w:type="dxa"/>
              <w:right w:w="100" w:type="dxa"/>
            </w:tcMar>
            <w:hideMark/>
          </w:tcPr>
          <w:p w14:paraId="59F4E8AA" w14:textId="77777777" w:rsidR="00631860" w:rsidRPr="00631860" w:rsidRDefault="00631860" w:rsidP="00631860">
            <w:pPr>
              <w:keepNext/>
              <w:keepLines/>
              <w:spacing w:before="100" w:after="100"/>
              <w:ind w:left="340"/>
              <w:outlineLvl w:val="1"/>
              <w:rPr>
                <w:rFonts w:ascii="Century Gothic" w:eastAsia="Georgia" w:hAnsi="Century Gothic" w:cs="Arial"/>
                <w:szCs w:val="20"/>
                <w:lang w:val="en" w:eastAsia="en-AU"/>
              </w:rPr>
            </w:pPr>
            <w:bookmarkStart w:id="50" w:name="_Toc137643372"/>
            <w:r w:rsidRPr="00631860">
              <w:rPr>
                <w:rFonts w:ascii="Century Gothic" w:eastAsia="Georgia" w:hAnsi="Century Gothic" w:cs="Arial"/>
                <w:szCs w:val="20"/>
                <w:lang w:val="en" w:eastAsia="en-AU"/>
              </w:rPr>
              <w:lastRenderedPageBreak/>
              <w:t>Benchmarking Services</w:t>
            </w:r>
            <w:bookmarkEnd w:id="50"/>
          </w:p>
        </w:tc>
        <w:tc>
          <w:tcPr>
            <w:tcW w:w="6428" w:type="dxa"/>
            <w:tcMar>
              <w:top w:w="100" w:type="dxa"/>
              <w:left w:w="100" w:type="dxa"/>
              <w:bottom w:w="100" w:type="dxa"/>
              <w:right w:w="100" w:type="dxa"/>
            </w:tcMar>
            <w:hideMark/>
          </w:tcPr>
          <w:p w14:paraId="238EA7D0" w14:textId="77777777" w:rsidR="00631860" w:rsidRPr="004E4296" w:rsidRDefault="00631860" w:rsidP="004E4296">
            <w:pPr>
              <w:pStyle w:val="ListParagraph"/>
              <w:numPr>
                <w:ilvl w:val="0"/>
                <w:numId w:val="35"/>
              </w:numPr>
              <w:spacing w:after="80" w:line="276" w:lineRule="auto"/>
              <w:ind w:right="51"/>
              <w:rPr>
                <w:rFonts w:ascii="Century Gothic" w:eastAsia="Gungsuh" w:hAnsi="Century Gothic" w:cs="Arial"/>
                <w:szCs w:val="20"/>
                <w:lang w:val="en" w:eastAsia="en-AU"/>
              </w:rPr>
            </w:pPr>
            <w:r w:rsidRPr="004E4296">
              <w:rPr>
                <w:rFonts w:ascii="Century Gothic" w:eastAsia="Gungsuh" w:hAnsi="Century Gothic" w:cs="Arial"/>
                <w:szCs w:val="20"/>
                <w:lang w:val="en" w:eastAsia="en-AU"/>
              </w:rPr>
              <w:t xml:space="preserve">Surveys where companies pay a fixed fee to participate, submit their data and receive a </w:t>
            </w:r>
            <w:proofErr w:type="gramStart"/>
            <w:r w:rsidRPr="004E4296">
              <w:rPr>
                <w:rFonts w:ascii="Century Gothic" w:eastAsia="Gungsuh" w:hAnsi="Century Gothic" w:cs="Arial"/>
                <w:szCs w:val="20"/>
                <w:lang w:val="en" w:eastAsia="en-AU"/>
              </w:rPr>
              <w:t>report</w:t>
            </w:r>
            <w:proofErr w:type="gramEnd"/>
          </w:p>
          <w:p w14:paraId="32C8992D" w14:textId="77777777" w:rsidR="00631860" w:rsidRPr="00631860" w:rsidRDefault="00631860" w:rsidP="004E4296">
            <w:pPr>
              <w:numPr>
                <w:ilvl w:val="0"/>
                <w:numId w:val="35"/>
              </w:numPr>
              <w:spacing w:after="80" w:line="276" w:lineRule="auto"/>
              <w:ind w:right="51"/>
              <w:rPr>
                <w:rFonts w:ascii="Century Gothic" w:eastAsia="Georgia" w:hAnsi="Century Gothic" w:cs="Arial"/>
                <w:szCs w:val="20"/>
                <w:lang w:val="en" w:eastAsia="en-AU"/>
              </w:rPr>
            </w:pPr>
            <w:r w:rsidRPr="00631860">
              <w:rPr>
                <w:rFonts w:ascii="Century Gothic" w:eastAsia="Gungsuh" w:hAnsi="Century Gothic" w:cs="Arial"/>
                <w:szCs w:val="20"/>
                <w:lang w:val="en" w:eastAsia="en-AU"/>
              </w:rPr>
              <w:t>Private surveys where Aeris’ data is compared to external data</w:t>
            </w:r>
          </w:p>
        </w:tc>
      </w:tr>
      <w:tr w:rsidR="00631860" w:rsidRPr="00631860" w14:paraId="23E5A31B" w14:textId="77777777" w:rsidTr="00F767C8">
        <w:trPr>
          <w:trHeight w:val="739"/>
        </w:trPr>
        <w:tc>
          <w:tcPr>
            <w:tcW w:w="3060" w:type="dxa"/>
            <w:tcMar>
              <w:top w:w="100" w:type="dxa"/>
              <w:left w:w="100" w:type="dxa"/>
              <w:bottom w:w="100" w:type="dxa"/>
              <w:right w:w="100" w:type="dxa"/>
            </w:tcMar>
            <w:hideMark/>
          </w:tcPr>
          <w:p w14:paraId="586506C1" w14:textId="77777777" w:rsidR="00631860" w:rsidRPr="00631860" w:rsidRDefault="00631860" w:rsidP="00631860">
            <w:pPr>
              <w:keepNext/>
              <w:keepLines/>
              <w:spacing w:before="100" w:after="100"/>
              <w:ind w:left="340"/>
              <w:outlineLvl w:val="1"/>
              <w:rPr>
                <w:rFonts w:ascii="Century Gothic" w:eastAsia="Georgia" w:hAnsi="Century Gothic" w:cs="Arial"/>
                <w:szCs w:val="20"/>
                <w:lang w:val="en" w:eastAsia="en-AU"/>
              </w:rPr>
            </w:pPr>
            <w:bookmarkStart w:id="51" w:name="_Toc137643373"/>
            <w:r w:rsidRPr="00631860">
              <w:rPr>
                <w:rFonts w:ascii="Century Gothic" w:eastAsia="Georgia" w:hAnsi="Century Gothic" w:cs="Arial"/>
                <w:szCs w:val="20"/>
                <w:lang w:val="en" w:eastAsia="en-AU"/>
              </w:rPr>
              <w:t>Tax Valuation Services</w:t>
            </w:r>
            <w:bookmarkEnd w:id="51"/>
          </w:p>
        </w:tc>
        <w:tc>
          <w:tcPr>
            <w:tcW w:w="6428" w:type="dxa"/>
            <w:tcMar>
              <w:top w:w="100" w:type="dxa"/>
              <w:left w:w="100" w:type="dxa"/>
              <w:bottom w:w="100" w:type="dxa"/>
              <w:right w:w="100" w:type="dxa"/>
            </w:tcMar>
            <w:hideMark/>
          </w:tcPr>
          <w:p w14:paraId="36C0F78D" w14:textId="51EA79FB" w:rsidR="00631860" w:rsidRPr="00631860" w:rsidRDefault="00631860" w:rsidP="004E4296">
            <w:pPr>
              <w:keepNext/>
              <w:keepLines/>
              <w:spacing w:afterLines="80" w:after="192"/>
              <w:ind w:left="238" w:right="51"/>
              <w:outlineLvl w:val="1"/>
              <w:rPr>
                <w:rFonts w:ascii="Century Gothic" w:eastAsia="Georgia" w:hAnsi="Century Gothic" w:cs="Arial"/>
                <w:szCs w:val="20"/>
                <w:lang w:val="en" w:eastAsia="en-AU"/>
              </w:rPr>
            </w:pPr>
            <w:bookmarkStart w:id="52" w:name="_Toc137643374"/>
            <w:r w:rsidRPr="00631860">
              <w:rPr>
                <w:rFonts w:ascii="Century Gothic" w:eastAsia="Gungsuh" w:hAnsi="Century Gothic" w:cs="Arial"/>
                <w:szCs w:val="20"/>
                <w:lang w:val="en" w:eastAsia="en-AU"/>
              </w:rPr>
              <w:t>Preparation of “tax-purpose only” valuations that will be</w:t>
            </w:r>
            <w:r w:rsidR="004E4296">
              <w:rPr>
                <w:rFonts w:ascii="Century Gothic" w:eastAsia="Gungsuh" w:hAnsi="Century Gothic" w:cs="Arial"/>
                <w:szCs w:val="20"/>
                <w:lang w:val="en" w:eastAsia="en-AU"/>
              </w:rPr>
              <w:t xml:space="preserve"> </w:t>
            </w:r>
            <w:r w:rsidRPr="00631860">
              <w:rPr>
                <w:rFonts w:ascii="Century Gothic" w:eastAsia="Gungsuh" w:hAnsi="Century Gothic" w:cs="Arial"/>
                <w:szCs w:val="20"/>
                <w:lang w:val="en" w:eastAsia="en-AU"/>
              </w:rPr>
              <w:t>used solely for the purpose of preparing or supporting tax returns and related filings</w:t>
            </w:r>
            <w:bookmarkEnd w:id="52"/>
          </w:p>
        </w:tc>
      </w:tr>
      <w:tr w:rsidR="00631860" w:rsidRPr="00631860" w14:paraId="0CAB069E" w14:textId="77777777" w:rsidTr="00F767C8">
        <w:trPr>
          <w:trHeight w:val="1010"/>
        </w:trPr>
        <w:tc>
          <w:tcPr>
            <w:tcW w:w="3060" w:type="dxa"/>
            <w:tcMar>
              <w:top w:w="100" w:type="dxa"/>
              <w:left w:w="100" w:type="dxa"/>
              <w:bottom w:w="100" w:type="dxa"/>
              <w:right w:w="100" w:type="dxa"/>
            </w:tcMar>
            <w:hideMark/>
          </w:tcPr>
          <w:p w14:paraId="3BAF1634" w14:textId="77777777" w:rsidR="00631860" w:rsidRPr="00631860" w:rsidRDefault="00631860" w:rsidP="00631860">
            <w:pPr>
              <w:keepNext/>
              <w:keepLines/>
              <w:spacing w:before="100" w:after="100"/>
              <w:ind w:left="340"/>
              <w:outlineLvl w:val="1"/>
              <w:rPr>
                <w:rFonts w:ascii="Century Gothic" w:eastAsia="Georgia" w:hAnsi="Century Gothic" w:cs="Arial"/>
                <w:szCs w:val="20"/>
                <w:lang w:val="en" w:eastAsia="en-AU"/>
              </w:rPr>
            </w:pPr>
            <w:bookmarkStart w:id="53" w:name="_Toc137643375"/>
            <w:r w:rsidRPr="00631860">
              <w:rPr>
                <w:rFonts w:ascii="Century Gothic" w:eastAsia="Georgia" w:hAnsi="Century Gothic" w:cs="Arial"/>
                <w:szCs w:val="20"/>
                <w:lang w:val="en" w:eastAsia="en-AU"/>
              </w:rPr>
              <w:t>Allocable Cost Allocation and Tax Group Consolidation</w:t>
            </w:r>
            <w:bookmarkEnd w:id="53"/>
          </w:p>
        </w:tc>
        <w:tc>
          <w:tcPr>
            <w:tcW w:w="6428" w:type="dxa"/>
            <w:tcMar>
              <w:top w:w="100" w:type="dxa"/>
              <w:left w:w="100" w:type="dxa"/>
              <w:bottom w:w="100" w:type="dxa"/>
              <w:right w:w="100" w:type="dxa"/>
            </w:tcMar>
            <w:hideMark/>
          </w:tcPr>
          <w:p w14:paraId="46F3A919" w14:textId="77777777" w:rsidR="00631860" w:rsidRPr="00631860" w:rsidRDefault="00631860" w:rsidP="004E4296">
            <w:pPr>
              <w:keepNext/>
              <w:keepLines/>
              <w:spacing w:after="80" w:line="276" w:lineRule="auto"/>
              <w:ind w:left="238" w:right="51"/>
              <w:outlineLvl w:val="1"/>
              <w:rPr>
                <w:rFonts w:ascii="Century Gothic" w:eastAsia="Gungsuh" w:hAnsi="Century Gothic" w:cs="Arial"/>
                <w:szCs w:val="20"/>
                <w:lang w:val="en" w:eastAsia="en-AU"/>
              </w:rPr>
            </w:pPr>
            <w:bookmarkStart w:id="54" w:name="_Toc137643376"/>
            <w:r w:rsidRPr="00631860">
              <w:rPr>
                <w:rFonts w:ascii="Century Gothic" w:eastAsia="Gungsuh" w:hAnsi="Century Gothic" w:cs="Arial"/>
                <w:szCs w:val="20"/>
                <w:lang w:val="en" w:eastAsia="en-AU"/>
              </w:rPr>
              <w:t xml:space="preserve">Preparation of tax consolidation calculations for an </w:t>
            </w:r>
            <w:proofErr w:type="gramStart"/>
            <w:r w:rsidRPr="00631860">
              <w:rPr>
                <w:rFonts w:ascii="Century Gothic" w:eastAsia="Gungsuh" w:hAnsi="Century Gothic" w:cs="Arial"/>
                <w:szCs w:val="20"/>
                <w:lang w:val="en" w:eastAsia="en-AU"/>
              </w:rPr>
              <w:t>entity / entities</w:t>
            </w:r>
            <w:proofErr w:type="gramEnd"/>
            <w:r w:rsidRPr="00631860">
              <w:rPr>
                <w:rFonts w:ascii="Century Gothic" w:eastAsia="Gungsuh" w:hAnsi="Century Gothic" w:cs="Arial"/>
                <w:szCs w:val="20"/>
                <w:lang w:val="en" w:eastAsia="en-AU"/>
              </w:rPr>
              <w:t xml:space="preserve"> joining or exiting the Aeris income tax consolidated group and advice regarding the same.</w:t>
            </w:r>
            <w:bookmarkEnd w:id="54"/>
          </w:p>
        </w:tc>
      </w:tr>
      <w:tr w:rsidR="00631860" w:rsidRPr="00631860" w14:paraId="1879272D" w14:textId="77777777" w:rsidTr="00F767C8">
        <w:trPr>
          <w:trHeight w:val="787"/>
        </w:trPr>
        <w:tc>
          <w:tcPr>
            <w:tcW w:w="3060" w:type="dxa"/>
            <w:tcMar>
              <w:top w:w="100" w:type="dxa"/>
              <w:left w:w="100" w:type="dxa"/>
              <w:bottom w:w="100" w:type="dxa"/>
              <w:right w:w="100" w:type="dxa"/>
            </w:tcMar>
            <w:hideMark/>
          </w:tcPr>
          <w:p w14:paraId="18298968" w14:textId="77777777" w:rsidR="00631860" w:rsidRPr="00145B67" w:rsidRDefault="00631860" w:rsidP="00631860">
            <w:pPr>
              <w:keepNext/>
              <w:keepLines/>
              <w:spacing w:before="100" w:after="100"/>
              <w:ind w:left="340"/>
              <w:outlineLvl w:val="1"/>
              <w:rPr>
                <w:rFonts w:ascii="Century Gothic" w:eastAsia="Georgia" w:hAnsi="Century Gothic" w:cs="Arial"/>
                <w:szCs w:val="20"/>
                <w:lang w:val="en" w:eastAsia="en-AU"/>
              </w:rPr>
            </w:pPr>
            <w:bookmarkStart w:id="55" w:name="_Toc137643377"/>
            <w:r w:rsidRPr="00145B67">
              <w:rPr>
                <w:rFonts w:ascii="Century Gothic" w:eastAsia="Georgia" w:hAnsi="Century Gothic" w:cs="Arial"/>
                <w:szCs w:val="20"/>
                <w:lang w:val="en" w:eastAsia="en-AU"/>
              </w:rPr>
              <w:t>Tax consulting and opinions</w:t>
            </w:r>
            <w:bookmarkEnd w:id="55"/>
          </w:p>
        </w:tc>
        <w:tc>
          <w:tcPr>
            <w:tcW w:w="6428" w:type="dxa"/>
            <w:tcMar>
              <w:top w:w="100" w:type="dxa"/>
              <w:left w:w="100" w:type="dxa"/>
              <w:bottom w:w="100" w:type="dxa"/>
              <w:right w:w="100" w:type="dxa"/>
            </w:tcMar>
          </w:tcPr>
          <w:p w14:paraId="03FCE8BC" w14:textId="6BC817C7" w:rsidR="00631860" w:rsidRPr="00145B67" w:rsidRDefault="00631860" w:rsidP="004E4296">
            <w:pPr>
              <w:spacing w:afterLines="80" w:after="192" w:line="276" w:lineRule="auto"/>
              <w:ind w:left="238" w:right="51"/>
              <w:rPr>
                <w:rFonts w:ascii="Century Gothic" w:eastAsia="Arial" w:hAnsi="Century Gothic" w:cs="Arial"/>
                <w:szCs w:val="20"/>
                <w:lang w:val="en" w:eastAsia="en-AU"/>
              </w:rPr>
            </w:pPr>
            <w:r w:rsidRPr="00145B67">
              <w:rPr>
                <w:rFonts w:ascii="Century Gothic" w:eastAsia="Arial" w:hAnsi="Century Gothic" w:cs="Arial"/>
                <w:szCs w:val="20"/>
                <w:lang w:val="en" w:eastAsia="en-AU"/>
              </w:rPr>
              <w:t xml:space="preserve">Advice and opinions interpreting Australian and foreign tax legislation, </w:t>
            </w:r>
            <w:proofErr w:type="gramStart"/>
            <w:r w:rsidRPr="00145B67">
              <w:rPr>
                <w:rFonts w:ascii="Century Gothic" w:eastAsia="Arial" w:hAnsi="Century Gothic" w:cs="Arial"/>
                <w:szCs w:val="20"/>
                <w:lang w:val="en" w:eastAsia="en-AU"/>
              </w:rPr>
              <w:t>law</w:t>
            </w:r>
            <w:proofErr w:type="gramEnd"/>
            <w:r w:rsidRPr="00145B67">
              <w:rPr>
                <w:rFonts w:ascii="Century Gothic" w:eastAsia="Arial" w:hAnsi="Century Gothic" w:cs="Arial"/>
                <w:szCs w:val="20"/>
                <w:lang w:val="en" w:eastAsia="en-AU"/>
              </w:rPr>
              <w:t xml:space="preserve"> and practice.</w:t>
            </w:r>
            <w:r w:rsidR="00C90ADF" w:rsidRPr="00FE7213">
              <w:rPr>
                <w:rFonts w:ascii="Century Gothic" w:eastAsia="Arial" w:hAnsi="Century Gothic" w:cs="Arial"/>
                <w:szCs w:val="20"/>
                <w:lang w:val="en" w:eastAsia="en-AU"/>
              </w:rPr>
              <w:t xml:space="preserve"> This will include providing tax advice on deal structuring and related documentation, providing tax planning and strategic advice</w:t>
            </w:r>
            <w:r w:rsidR="00FE7213">
              <w:rPr>
                <w:rFonts w:ascii="Century Gothic" w:eastAsia="Arial" w:hAnsi="Century Gothic" w:cs="Arial"/>
                <w:szCs w:val="20"/>
                <w:lang w:val="en" w:eastAsia="en-AU"/>
              </w:rPr>
              <w:t>.</w:t>
            </w:r>
          </w:p>
        </w:tc>
      </w:tr>
      <w:tr w:rsidR="00631860" w:rsidRPr="00631860" w14:paraId="6D6D30EB" w14:textId="77777777" w:rsidTr="00F767C8">
        <w:trPr>
          <w:trHeight w:val="1392"/>
        </w:trPr>
        <w:tc>
          <w:tcPr>
            <w:tcW w:w="3060" w:type="dxa"/>
            <w:tcMar>
              <w:top w:w="100" w:type="dxa"/>
              <w:left w:w="100" w:type="dxa"/>
              <w:bottom w:w="100" w:type="dxa"/>
              <w:right w:w="100" w:type="dxa"/>
            </w:tcMar>
            <w:hideMark/>
          </w:tcPr>
          <w:p w14:paraId="7AE0A9A2" w14:textId="77777777" w:rsidR="00631860" w:rsidRPr="00631860" w:rsidRDefault="00631860" w:rsidP="004E4296">
            <w:pPr>
              <w:keepNext/>
              <w:keepLines/>
              <w:spacing w:before="100" w:after="100"/>
              <w:ind w:left="340"/>
              <w:outlineLvl w:val="1"/>
              <w:rPr>
                <w:rFonts w:ascii="Century Gothic" w:eastAsia="Georgia" w:hAnsi="Century Gothic" w:cs="Arial"/>
                <w:szCs w:val="20"/>
                <w:lang w:val="en" w:eastAsia="en-AU"/>
              </w:rPr>
            </w:pPr>
            <w:bookmarkStart w:id="56" w:name="_Toc137643378"/>
            <w:r w:rsidRPr="00631860">
              <w:rPr>
                <w:rFonts w:ascii="Century Gothic" w:eastAsia="Georgia" w:hAnsi="Century Gothic" w:cs="Arial"/>
                <w:szCs w:val="20"/>
                <w:lang w:val="en" w:eastAsia="en-AU"/>
              </w:rPr>
              <w:t>Buyside Tax Due Diligence Services (Provided to Aeris as the Potential Acquirer)</w:t>
            </w:r>
            <w:bookmarkEnd w:id="56"/>
          </w:p>
        </w:tc>
        <w:tc>
          <w:tcPr>
            <w:tcW w:w="6428" w:type="dxa"/>
            <w:tcMar>
              <w:top w:w="100" w:type="dxa"/>
              <w:left w:w="100" w:type="dxa"/>
              <w:bottom w:w="100" w:type="dxa"/>
              <w:right w:w="100" w:type="dxa"/>
            </w:tcMar>
            <w:hideMark/>
          </w:tcPr>
          <w:p w14:paraId="17D8A636" w14:textId="0185B12B" w:rsidR="00631860" w:rsidRPr="00631860" w:rsidRDefault="00631860" w:rsidP="004E4296">
            <w:pPr>
              <w:keepNext/>
              <w:keepLines/>
              <w:spacing w:before="100" w:after="100"/>
              <w:ind w:left="238" w:right="360"/>
              <w:outlineLvl w:val="1"/>
              <w:rPr>
                <w:rFonts w:ascii="Century Gothic" w:eastAsia="Georgia" w:hAnsi="Century Gothic" w:cs="Arial"/>
                <w:szCs w:val="20"/>
                <w:lang w:val="en" w:eastAsia="en-AU"/>
              </w:rPr>
            </w:pPr>
            <w:bookmarkStart w:id="57" w:name="_Toc137643379"/>
            <w:r w:rsidRPr="00631860">
              <w:rPr>
                <w:rFonts w:ascii="Century Gothic" w:eastAsia="Georgia" w:hAnsi="Century Gothic" w:cs="Arial"/>
                <w:szCs w:val="20"/>
                <w:lang w:val="en" w:eastAsia="en-AU"/>
              </w:rPr>
              <w:t xml:space="preserve">Advice and assistance, commissioned by the acquirer, in </w:t>
            </w:r>
            <w:proofErr w:type="spellStart"/>
            <w:r w:rsidRPr="00631860">
              <w:rPr>
                <w:rFonts w:ascii="Century Gothic" w:eastAsia="Georgia" w:hAnsi="Century Gothic" w:cs="Arial"/>
                <w:szCs w:val="20"/>
                <w:lang w:val="en" w:eastAsia="en-AU"/>
              </w:rPr>
              <w:t>analysing</w:t>
            </w:r>
            <w:proofErr w:type="spellEnd"/>
            <w:r w:rsidRPr="00631860">
              <w:rPr>
                <w:rFonts w:ascii="Century Gothic" w:eastAsia="Georgia" w:hAnsi="Century Gothic" w:cs="Arial"/>
                <w:szCs w:val="20"/>
                <w:lang w:val="en" w:eastAsia="en-AU"/>
              </w:rPr>
              <w:t xml:space="preserve"> the tax situation of the target company in conjunction with a proposed acquisition</w:t>
            </w:r>
            <w:bookmarkEnd w:id="57"/>
            <w:r w:rsidRPr="00631860">
              <w:rPr>
                <w:rFonts w:ascii="Century Gothic" w:eastAsia="Georgia" w:hAnsi="Century Gothic" w:cs="Arial"/>
                <w:szCs w:val="20"/>
                <w:lang w:val="en" w:eastAsia="en-AU"/>
              </w:rPr>
              <w:br/>
            </w:r>
          </w:p>
        </w:tc>
      </w:tr>
      <w:tr w:rsidR="00631860" w:rsidRPr="00631860" w14:paraId="1C7D198D" w14:textId="77777777" w:rsidTr="00F767C8">
        <w:trPr>
          <w:trHeight w:val="1174"/>
        </w:trPr>
        <w:tc>
          <w:tcPr>
            <w:tcW w:w="3060" w:type="dxa"/>
            <w:tcMar>
              <w:top w:w="100" w:type="dxa"/>
              <w:left w:w="100" w:type="dxa"/>
              <w:bottom w:w="100" w:type="dxa"/>
              <w:right w:w="100" w:type="dxa"/>
            </w:tcMar>
            <w:hideMark/>
          </w:tcPr>
          <w:p w14:paraId="10FA9645" w14:textId="77777777" w:rsidR="00631860" w:rsidRPr="00631860" w:rsidRDefault="00631860" w:rsidP="004E4296">
            <w:pPr>
              <w:keepNext/>
              <w:keepLines/>
              <w:spacing w:before="100" w:after="100"/>
              <w:ind w:left="340"/>
              <w:outlineLvl w:val="1"/>
              <w:rPr>
                <w:rFonts w:ascii="Century Gothic" w:eastAsia="Georgia" w:hAnsi="Century Gothic" w:cs="Arial"/>
                <w:szCs w:val="20"/>
                <w:lang w:val="en" w:eastAsia="en-AU"/>
              </w:rPr>
            </w:pPr>
            <w:bookmarkStart w:id="58" w:name="_Toc137643380"/>
            <w:r w:rsidRPr="00631860">
              <w:rPr>
                <w:rFonts w:ascii="Century Gothic" w:eastAsia="Georgia" w:hAnsi="Century Gothic" w:cs="Arial"/>
                <w:szCs w:val="20"/>
                <w:lang w:val="en" w:eastAsia="en-AU"/>
              </w:rPr>
              <w:t>Sell-Side Tax Due Diligence Services (Provided to Aeris as the Potential Seller)</w:t>
            </w:r>
            <w:bookmarkEnd w:id="58"/>
          </w:p>
        </w:tc>
        <w:tc>
          <w:tcPr>
            <w:tcW w:w="6428" w:type="dxa"/>
            <w:tcMar>
              <w:top w:w="100" w:type="dxa"/>
              <w:left w:w="100" w:type="dxa"/>
              <w:bottom w:w="100" w:type="dxa"/>
              <w:right w:w="100" w:type="dxa"/>
            </w:tcMar>
            <w:hideMark/>
          </w:tcPr>
          <w:p w14:paraId="786381F2" w14:textId="0677B97F" w:rsidR="00631860" w:rsidRPr="00631860" w:rsidRDefault="00631860" w:rsidP="004E4296">
            <w:pPr>
              <w:keepNext/>
              <w:keepLines/>
              <w:spacing w:before="100" w:after="100"/>
              <w:ind w:left="238" w:right="880"/>
              <w:outlineLvl w:val="1"/>
              <w:rPr>
                <w:rFonts w:ascii="Century Gothic" w:eastAsia="Georgia" w:hAnsi="Century Gothic" w:cs="Arial"/>
                <w:szCs w:val="20"/>
                <w:lang w:val="en" w:eastAsia="en-AU"/>
              </w:rPr>
            </w:pPr>
            <w:bookmarkStart w:id="59" w:name="_Toc137643381"/>
            <w:r w:rsidRPr="00631860">
              <w:rPr>
                <w:rFonts w:ascii="Century Gothic" w:eastAsia="Georgia" w:hAnsi="Century Gothic" w:cs="Arial"/>
                <w:szCs w:val="20"/>
                <w:lang w:val="en" w:eastAsia="en-AU"/>
              </w:rPr>
              <w:t>Advice and assistance on the tax situation from the perspective of a hypothetical acquirer and Potential Seller</w:t>
            </w:r>
            <w:bookmarkEnd w:id="59"/>
          </w:p>
        </w:tc>
      </w:tr>
      <w:tr w:rsidR="00631860" w:rsidRPr="00631860" w14:paraId="26B31254" w14:textId="77777777" w:rsidTr="00F767C8">
        <w:trPr>
          <w:trHeight w:val="1350"/>
        </w:trPr>
        <w:tc>
          <w:tcPr>
            <w:tcW w:w="3060" w:type="dxa"/>
            <w:tcMar>
              <w:top w:w="100" w:type="dxa"/>
              <w:left w:w="100" w:type="dxa"/>
              <w:bottom w:w="100" w:type="dxa"/>
              <w:right w:w="100" w:type="dxa"/>
            </w:tcMar>
            <w:hideMark/>
          </w:tcPr>
          <w:p w14:paraId="0649FAC9" w14:textId="77777777" w:rsidR="00631860" w:rsidRPr="00631860" w:rsidRDefault="00631860" w:rsidP="004E4296">
            <w:pPr>
              <w:keepNext/>
              <w:keepLines/>
              <w:spacing w:before="100" w:after="100" w:line="276" w:lineRule="auto"/>
              <w:ind w:left="340" w:right="135"/>
              <w:outlineLvl w:val="1"/>
              <w:rPr>
                <w:rFonts w:ascii="Century Gothic" w:eastAsia="Georgia" w:hAnsi="Century Gothic" w:cs="Arial"/>
                <w:szCs w:val="20"/>
                <w:lang w:val="en" w:eastAsia="en-AU"/>
              </w:rPr>
            </w:pPr>
            <w:bookmarkStart w:id="60" w:name="_Toc137643382"/>
            <w:r w:rsidRPr="00631860">
              <w:rPr>
                <w:rFonts w:ascii="Century Gothic" w:eastAsia="Georgia" w:hAnsi="Century Gothic" w:cs="Arial"/>
                <w:szCs w:val="20"/>
                <w:lang w:val="en" w:eastAsia="en-AU"/>
              </w:rPr>
              <w:t xml:space="preserve">People and </w:t>
            </w:r>
            <w:proofErr w:type="spellStart"/>
            <w:r w:rsidRPr="00631860">
              <w:rPr>
                <w:rFonts w:ascii="Century Gothic" w:eastAsia="Georgia" w:hAnsi="Century Gothic" w:cs="Arial"/>
                <w:szCs w:val="20"/>
                <w:lang w:val="en" w:eastAsia="en-AU"/>
              </w:rPr>
              <w:t>Organisation</w:t>
            </w:r>
            <w:proofErr w:type="spellEnd"/>
            <w:r w:rsidRPr="00631860">
              <w:rPr>
                <w:rFonts w:ascii="Century Gothic" w:eastAsia="Georgia" w:hAnsi="Century Gothic" w:cs="Arial"/>
                <w:szCs w:val="20"/>
                <w:lang w:val="en" w:eastAsia="en-AU"/>
              </w:rPr>
              <w:t xml:space="preserve"> Services</w:t>
            </w:r>
            <w:bookmarkEnd w:id="60"/>
          </w:p>
        </w:tc>
        <w:tc>
          <w:tcPr>
            <w:tcW w:w="6428" w:type="dxa"/>
            <w:tcMar>
              <w:top w:w="100" w:type="dxa"/>
              <w:left w:w="100" w:type="dxa"/>
              <w:bottom w:w="100" w:type="dxa"/>
              <w:right w:w="100" w:type="dxa"/>
            </w:tcMar>
            <w:hideMark/>
          </w:tcPr>
          <w:p w14:paraId="5F26AC36" w14:textId="5720AF1B" w:rsidR="00631860" w:rsidRPr="00631860" w:rsidRDefault="00631860" w:rsidP="004E4296">
            <w:pPr>
              <w:keepNext/>
              <w:keepLines/>
              <w:spacing w:before="100" w:after="100" w:line="276" w:lineRule="auto"/>
              <w:ind w:left="238" w:right="420"/>
              <w:outlineLvl w:val="1"/>
              <w:rPr>
                <w:rFonts w:ascii="Century Gothic" w:eastAsia="Georgia" w:hAnsi="Century Gothic" w:cs="Arial"/>
                <w:szCs w:val="20"/>
                <w:lang w:val="en" w:eastAsia="en-AU"/>
              </w:rPr>
            </w:pPr>
            <w:bookmarkStart w:id="61" w:name="_Toc137643383"/>
            <w:r w:rsidRPr="00631860">
              <w:rPr>
                <w:rFonts w:ascii="Century Gothic" w:eastAsia="Georgia" w:hAnsi="Century Gothic" w:cs="Arial"/>
                <w:szCs w:val="20"/>
                <w:lang w:val="en" w:eastAsia="en-AU"/>
              </w:rPr>
              <w:t xml:space="preserve">Advise and assist Aeris in tax aspects of people </w:t>
            </w:r>
            <w:proofErr w:type="gramStart"/>
            <w:r w:rsidRPr="00631860">
              <w:rPr>
                <w:rFonts w:ascii="Century Gothic" w:eastAsia="Georgia" w:hAnsi="Century Gothic" w:cs="Arial"/>
                <w:szCs w:val="20"/>
                <w:lang w:val="en" w:eastAsia="en-AU"/>
              </w:rPr>
              <w:t>management</w:t>
            </w:r>
            <w:bookmarkEnd w:id="61"/>
            <w:proofErr w:type="gramEnd"/>
          </w:p>
          <w:p w14:paraId="69A9807C" w14:textId="77777777" w:rsidR="00631860" w:rsidRPr="00631860" w:rsidRDefault="00631860" w:rsidP="004E4296">
            <w:pPr>
              <w:keepNext/>
              <w:keepLines/>
              <w:spacing w:before="100" w:after="100" w:line="276" w:lineRule="auto"/>
              <w:ind w:left="238" w:right="420"/>
              <w:outlineLvl w:val="1"/>
              <w:rPr>
                <w:rFonts w:ascii="Century Gothic" w:eastAsia="Georgia" w:hAnsi="Century Gothic" w:cs="Arial"/>
                <w:szCs w:val="20"/>
                <w:lang w:val="en" w:eastAsia="en-AU"/>
              </w:rPr>
            </w:pPr>
            <w:bookmarkStart w:id="62" w:name="_Toc137643384"/>
            <w:r w:rsidRPr="00631860">
              <w:rPr>
                <w:rFonts w:ascii="Century Gothic" w:eastAsia="Georgia" w:hAnsi="Century Gothic" w:cs="Arial"/>
                <w:szCs w:val="20"/>
                <w:lang w:val="en" w:eastAsia="en-AU"/>
              </w:rPr>
              <w:t>Tax advice in relation to incentive plans offered to Aeris personnel</w:t>
            </w:r>
            <w:bookmarkEnd w:id="62"/>
          </w:p>
        </w:tc>
      </w:tr>
      <w:tr w:rsidR="00631860" w:rsidRPr="00631860" w14:paraId="5EAD6FE7" w14:textId="77777777" w:rsidTr="00F767C8">
        <w:trPr>
          <w:trHeight w:val="1100"/>
        </w:trPr>
        <w:tc>
          <w:tcPr>
            <w:tcW w:w="3060" w:type="dxa"/>
            <w:tcMar>
              <w:top w:w="100" w:type="dxa"/>
              <w:left w:w="100" w:type="dxa"/>
              <w:bottom w:w="100" w:type="dxa"/>
              <w:right w:w="100" w:type="dxa"/>
            </w:tcMar>
            <w:hideMark/>
          </w:tcPr>
          <w:p w14:paraId="3ED2EEF7" w14:textId="77777777" w:rsidR="00631860" w:rsidRPr="00631860" w:rsidRDefault="00631860" w:rsidP="004E4296">
            <w:pPr>
              <w:keepNext/>
              <w:keepLines/>
              <w:spacing w:before="100" w:after="100" w:line="276" w:lineRule="auto"/>
              <w:ind w:left="340" w:right="135"/>
              <w:outlineLvl w:val="1"/>
              <w:rPr>
                <w:rFonts w:ascii="Century Gothic" w:eastAsia="Georgia" w:hAnsi="Century Gothic" w:cs="Arial"/>
                <w:szCs w:val="20"/>
                <w:lang w:val="en" w:eastAsia="en-AU"/>
              </w:rPr>
            </w:pPr>
            <w:bookmarkStart w:id="63" w:name="_jwso57441csv"/>
            <w:bookmarkStart w:id="64" w:name="_Toc137643385"/>
            <w:bookmarkEnd w:id="63"/>
            <w:r w:rsidRPr="00631860">
              <w:rPr>
                <w:rFonts w:ascii="Century Gothic" w:eastAsia="Georgia" w:hAnsi="Century Gothic" w:cs="Arial"/>
                <w:szCs w:val="20"/>
                <w:lang w:val="en" w:eastAsia="en-AU"/>
              </w:rPr>
              <w:t>Other Integral Services Components and Activities</w:t>
            </w:r>
            <w:bookmarkStart w:id="65" w:name="_ma80l4686rkd"/>
            <w:bookmarkEnd w:id="64"/>
            <w:bookmarkEnd w:id="65"/>
          </w:p>
        </w:tc>
        <w:tc>
          <w:tcPr>
            <w:tcW w:w="6428" w:type="dxa"/>
            <w:tcMar>
              <w:top w:w="100" w:type="dxa"/>
              <w:left w:w="100" w:type="dxa"/>
              <w:bottom w:w="100" w:type="dxa"/>
              <w:right w:w="100" w:type="dxa"/>
            </w:tcMar>
          </w:tcPr>
          <w:p w14:paraId="3D265A63" w14:textId="77777777" w:rsidR="00631860" w:rsidRPr="00631860" w:rsidRDefault="00631860" w:rsidP="00631860">
            <w:pPr>
              <w:keepNext/>
              <w:keepLines/>
              <w:spacing w:before="100" w:after="100" w:line="276" w:lineRule="auto"/>
              <w:ind w:left="720" w:right="460" w:hanging="340"/>
              <w:outlineLvl w:val="1"/>
              <w:rPr>
                <w:rFonts w:ascii="Century Gothic" w:eastAsia="Georgia" w:hAnsi="Century Gothic" w:cs="Arial"/>
                <w:szCs w:val="20"/>
                <w:lang w:val="en" w:eastAsia="en-AU"/>
              </w:rPr>
            </w:pPr>
            <w:bookmarkStart w:id="66" w:name="_Toc137643386"/>
            <w:r w:rsidRPr="00631860">
              <w:rPr>
                <w:rFonts w:ascii="Century Gothic" w:eastAsia="Gungsuh" w:hAnsi="Century Gothic" w:cs="Arial"/>
                <w:szCs w:val="20"/>
                <w:lang w:val="en" w:eastAsia="en-AU"/>
              </w:rPr>
              <w:t>●</w:t>
            </w:r>
            <w:r w:rsidRPr="00631860">
              <w:rPr>
                <w:rFonts w:ascii="Century Gothic" w:eastAsia="Georgia" w:hAnsi="Century Gothic" w:cs="Arial"/>
                <w:szCs w:val="20"/>
                <w:lang w:val="en" w:eastAsia="en-AU"/>
              </w:rPr>
              <w:tab/>
              <w:t>Additional tax-related services performed in conjunction with and to support the provision of the aforementioned services</w:t>
            </w:r>
            <w:bookmarkEnd w:id="66"/>
          </w:p>
          <w:p w14:paraId="0B94988F" w14:textId="34A73E8B" w:rsidR="00631860" w:rsidRPr="00631860" w:rsidRDefault="00631860" w:rsidP="00F767C8">
            <w:pPr>
              <w:numPr>
                <w:ilvl w:val="0"/>
                <w:numId w:val="29"/>
              </w:numPr>
              <w:spacing w:line="276" w:lineRule="auto"/>
              <w:ind w:hanging="340"/>
              <w:rPr>
                <w:rFonts w:ascii="Century Gothic" w:eastAsia="Arial" w:hAnsi="Century Gothic" w:cs="Arial"/>
                <w:szCs w:val="20"/>
                <w:lang w:val="en" w:eastAsia="en-AU"/>
              </w:rPr>
            </w:pPr>
            <w:r w:rsidRPr="00631860">
              <w:rPr>
                <w:rFonts w:ascii="Century Gothic" w:eastAsia="Georgia" w:hAnsi="Century Gothic" w:cs="Arial"/>
                <w:szCs w:val="20"/>
                <w:lang w:val="en" w:eastAsia="en-AU"/>
              </w:rPr>
              <w:t xml:space="preserve">General advice regarding statutory, regulatory or administrative taxation developments linked to a </w:t>
            </w:r>
            <w:proofErr w:type="spellStart"/>
            <w:proofErr w:type="gramStart"/>
            <w:r w:rsidRPr="00631860">
              <w:rPr>
                <w:rFonts w:ascii="Century Gothic" w:eastAsia="Georgia" w:hAnsi="Century Gothic" w:cs="Arial"/>
                <w:szCs w:val="20"/>
                <w:lang w:val="en" w:eastAsia="en-AU"/>
              </w:rPr>
              <w:t>pre approved</w:t>
            </w:r>
            <w:proofErr w:type="spellEnd"/>
            <w:proofErr w:type="gramEnd"/>
            <w:r w:rsidRPr="00631860">
              <w:rPr>
                <w:rFonts w:ascii="Century Gothic" w:eastAsia="Georgia" w:hAnsi="Century Gothic" w:cs="Arial"/>
                <w:szCs w:val="20"/>
                <w:lang w:val="en" w:eastAsia="en-AU"/>
              </w:rPr>
              <w:t xml:space="preserve"> service above.</w:t>
            </w:r>
          </w:p>
        </w:tc>
      </w:tr>
    </w:tbl>
    <w:p w14:paraId="729D65A8" w14:textId="77777777" w:rsidR="004E4296" w:rsidRDefault="004E4296" w:rsidP="004E4296">
      <w:pPr>
        <w:widowControl w:val="0"/>
        <w:spacing w:line="276" w:lineRule="auto"/>
        <w:ind w:right="533"/>
        <w:rPr>
          <w:rFonts w:ascii="Century Gothic" w:eastAsia="Arial" w:hAnsi="Century Gothic" w:cs="Arial"/>
          <w:szCs w:val="20"/>
          <w:lang w:val="en" w:eastAsia="en-AU"/>
        </w:rPr>
      </w:pPr>
      <w:bookmarkStart w:id="67" w:name="_lvcrutw7ip2l"/>
      <w:bookmarkEnd w:id="67"/>
    </w:p>
    <w:p w14:paraId="3EAAD579" w14:textId="767B489B" w:rsidR="00631860" w:rsidRPr="00631860" w:rsidRDefault="00631860" w:rsidP="004E4296">
      <w:pPr>
        <w:widowControl w:val="0"/>
        <w:spacing w:line="276" w:lineRule="auto"/>
        <w:ind w:right="533"/>
        <w:rPr>
          <w:rFonts w:ascii="Century Gothic" w:eastAsia="Arial" w:hAnsi="Century Gothic" w:cs="Arial"/>
          <w:szCs w:val="20"/>
          <w:lang w:val="en" w:eastAsia="en-AU"/>
        </w:rPr>
      </w:pPr>
      <w:r w:rsidRPr="00631860">
        <w:rPr>
          <w:rFonts w:ascii="Century Gothic" w:eastAsia="Arial" w:hAnsi="Century Gothic" w:cs="Arial"/>
          <w:szCs w:val="20"/>
          <w:lang w:val="en" w:eastAsia="en-AU"/>
        </w:rPr>
        <w:t>This is subject to prohibitions on certain types of transactions that are "potentially abusive", "confidential" or "aggressive" and therefore classified as Prohibited Services.</w:t>
      </w:r>
    </w:p>
    <w:p w14:paraId="3ACC53A8" w14:textId="77777777" w:rsidR="00631860" w:rsidRPr="00631860" w:rsidRDefault="00631860" w:rsidP="00631860">
      <w:pPr>
        <w:widowControl w:val="0"/>
        <w:ind w:left="720" w:right="533"/>
        <w:rPr>
          <w:rFonts w:ascii="Century Gothic" w:eastAsia="Georgia" w:hAnsi="Century Gothic" w:cs="Arial"/>
          <w:szCs w:val="20"/>
          <w:lang w:val="en" w:eastAsia="en-AU"/>
        </w:rPr>
      </w:pPr>
    </w:p>
    <w:p w14:paraId="3D545CBD" w14:textId="484D25A7" w:rsidR="00534956" w:rsidRPr="006C1C28" w:rsidRDefault="00631860" w:rsidP="006B38E1">
      <w:pPr>
        <w:widowControl w:val="0"/>
        <w:ind w:right="533"/>
        <w:jc w:val="both"/>
        <w:rPr>
          <w:rFonts w:ascii="Century Gothic" w:hAnsi="Century Gothic"/>
        </w:rPr>
      </w:pPr>
      <w:r w:rsidRPr="00631860">
        <w:rPr>
          <w:rFonts w:ascii="Century Gothic" w:eastAsia="Georgia" w:hAnsi="Century Gothic" w:cs="Arial"/>
          <w:szCs w:val="20"/>
          <w:lang w:val="en" w:eastAsia="en-AU"/>
        </w:rPr>
        <w:t xml:space="preserve">Other services including but limited to tax planning and tax dispute support are allowable </w:t>
      </w:r>
      <w:r w:rsidRPr="00631860">
        <w:rPr>
          <w:rFonts w:ascii="Century Gothic" w:eastAsia="Georgia" w:hAnsi="Century Gothic" w:cs="Arial"/>
          <w:szCs w:val="20"/>
          <w:lang w:val="en" w:eastAsia="en-AU"/>
        </w:rPr>
        <w:lastRenderedPageBreak/>
        <w:t xml:space="preserve">services but given their scope is unique to each engagement they will require Audit Committee approval on an </w:t>
      </w:r>
      <w:proofErr w:type="spellStart"/>
      <w:r w:rsidRPr="00631860">
        <w:rPr>
          <w:rFonts w:ascii="Century Gothic" w:eastAsia="Georgia" w:hAnsi="Century Gothic" w:cs="Arial"/>
          <w:szCs w:val="20"/>
          <w:lang w:val="en" w:eastAsia="en-AU"/>
        </w:rPr>
        <w:t>adhoc</w:t>
      </w:r>
      <w:proofErr w:type="spellEnd"/>
      <w:r w:rsidRPr="00631860">
        <w:rPr>
          <w:rFonts w:ascii="Century Gothic" w:eastAsia="Georgia" w:hAnsi="Century Gothic" w:cs="Arial"/>
          <w:szCs w:val="20"/>
          <w:lang w:val="en" w:eastAsia="en-AU"/>
        </w:rPr>
        <w:t xml:space="preserve"> basis before work commences as per section 2.2 above.</w:t>
      </w:r>
    </w:p>
    <w:sectPr w:rsidR="00534956" w:rsidRPr="006C1C28" w:rsidSect="003F477C">
      <w:headerReference w:type="default" r:id="rId11"/>
      <w:footerReference w:type="even" r:id="rId12"/>
      <w:footerReference w:type="default" r:id="rId13"/>
      <w:headerReference w:type="first" r:id="rId14"/>
      <w:footerReference w:type="first" r:id="rId15"/>
      <w:pgSz w:w="11906" w:h="16838" w:code="9"/>
      <w:pgMar w:top="1361" w:right="1021" w:bottom="1134" w:left="1361"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FCE5" w14:textId="77777777" w:rsidR="00F41CB6" w:rsidRDefault="00F41CB6" w:rsidP="0088529E">
      <w:r>
        <w:separator/>
      </w:r>
    </w:p>
  </w:endnote>
  <w:endnote w:type="continuationSeparator" w:id="0">
    <w:p w14:paraId="5DF8B58C" w14:textId="77777777" w:rsidR="00F41CB6" w:rsidRDefault="00F41CB6" w:rsidP="0088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5120-Identity-H">
    <w:altName w:val="Calibri"/>
    <w:panose1 w:val="00000000000000000000"/>
    <w:charset w:val="00"/>
    <w:family w:val="auto"/>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A70F" w14:textId="77777777" w:rsidR="00534956" w:rsidRDefault="0088529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9FAA84" w14:textId="77777777" w:rsidR="00534956" w:rsidRDefault="0053495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473"/>
      <w:gridCol w:w="4102"/>
      <w:gridCol w:w="1033"/>
      <w:gridCol w:w="1144"/>
      <w:gridCol w:w="894"/>
      <w:gridCol w:w="868"/>
    </w:tblGrid>
    <w:tr w:rsidR="003F477C" w:rsidRPr="00925F91" w14:paraId="4DD85940" w14:textId="77777777" w:rsidTr="003F477C">
      <w:tc>
        <w:tcPr>
          <w:tcW w:w="774" w:type="pct"/>
          <w:vAlign w:val="center"/>
        </w:tcPr>
        <w:p w14:paraId="2F12C505" w14:textId="77777777" w:rsidR="003F477C" w:rsidRPr="00925F91" w:rsidRDefault="003F477C" w:rsidP="00534956">
          <w:pPr>
            <w:pStyle w:val="FooterText"/>
            <w:spacing w:line="240" w:lineRule="auto"/>
          </w:pPr>
          <w:r w:rsidRPr="00925F91">
            <w:t>Document Title:</w:t>
          </w:r>
        </w:p>
      </w:tc>
      <w:tc>
        <w:tcPr>
          <w:tcW w:w="2156" w:type="pct"/>
          <w:vAlign w:val="center"/>
        </w:tcPr>
        <w:p w14:paraId="7E1D1316" w14:textId="4384FE35" w:rsidR="003F477C" w:rsidRPr="00925F91" w:rsidRDefault="003F477C" w:rsidP="00534956">
          <w:pPr>
            <w:pStyle w:val="FooterText"/>
            <w:spacing w:line="240" w:lineRule="auto"/>
          </w:pPr>
          <w:r>
            <w:t xml:space="preserve">Aeris </w:t>
          </w:r>
          <w:r w:rsidR="006C1C28">
            <w:t>Non-Audit Services Policy</w:t>
          </w:r>
        </w:p>
      </w:tc>
      <w:tc>
        <w:tcPr>
          <w:tcW w:w="1143" w:type="pct"/>
          <w:gridSpan w:val="2"/>
          <w:vAlign w:val="center"/>
        </w:tcPr>
        <w:p w14:paraId="3C723960" w14:textId="77777777" w:rsidR="003F477C" w:rsidRPr="00925F91" w:rsidRDefault="003F477C" w:rsidP="00534956">
          <w:pPr>
            <w:pStyle w:val="FooterText"/>
            <w:spacing w:line="240" w:lineRule="auto"/>
          </w:pPr>
          <w:r w:rsidRPr="00925F91">
            <w:rPr>
              <w:rFonts w:cs="Arial"/>
              <w:b/>
              <w:bCs/>
            </w:rPr>
            <w:t>Aeris Resources</w:t>
          </w:r>
        </w:p>
      </w:tc>
      <w:tc>
        <w:tcPr>
          <w:tcW w:w="470" w:type="pct"/>
          <w:vAlign w:val="center"/>
        </w:tcPr>
        <w:p w14:paraId="050FFC35" w14:textId="77777777" w:rsidR="003F477C" w:rsidRPr="00925F91" w:rsidRDefault="003F477C" w:rsidP="00534956">
          <w:pPr>
            <w:pStyle w:val="FooterText"/>
            <w:spacing w:line="240" w:lineRule="auto"/>
          </w:pPr>
          <w:r w:rsidRPr="00925F91">
            <w:t>Version:</w:t>
          </w:r>
        </w:p>
      </w:tc>
      <w:tc>
        <w:tcPr>
          <w:tcW w:w="456" w:type="pct"/>
          <w:vAlign w:val="center"/>
        </w:tcPr>
        <w:p w14:paraId="514B390C" w14:textId="77777777" w:rsidR="003F477C" w:rsidRPr="00925F91" w:rsidRDefault="003F477C" w:rsidP="00534956">
          <w:pPr>
            <w:pStyle w:val="FooterText"/>
            <w:spacing w:line="240" w:lineRule="auto"/>
          </w:pPr>
          <w:r w:rsidRPr="00925F91">
            <w:t>1</w:t>
          </w:r>
        </w:p>
      </w:tc>
    </w:tr>
    <w:tr w:rsidR="003F477C" w:rsidRPr="00925F91" w14:paraId="2C5DACF6" w14:textId="77777777" w:rsidTr="003F477C">
      <w:tc>
        <w:tcPr>
          <w:tcW w:w="774" w:type="pct"/>
          <w:vAlign w:val="center"/>
        </w:tcPr>
        <w:p w14:paraId="7FE4C88F" w14:textId="77777777" w:rsidR="003F477C" w:rsidRPr="00925F91" w:rsidRDefault="003F477C" w:rsidP="00534956">
          <w:pPr>
            <w:pStyle w:val="FooterText"/>
            <w:spacing w:line="240" w:lineRule="auto"/>
          </w:pPr>
          <w:r w:rsidRPr="00925F91">
            <w:t>Print Date:</w:t>
          </w:r>
        </w:p>
      </w:tc>
      <w:tc>
        <w:tcPr>
          <w:tcW w:w="2156" w:type="pct"/>
          <w:vAlign w:val="center"/>
        </w:tcPr>
        <w:p w14:paraId="06EF0DC3" w14:textId="41273552" w:rsidR="003F477C" w:rsidRPr="00925F91" w:rsidRDefault="00CF1207" w:rsidP="00534956">
          <w:pPr>
            <w:pStyle w:val="FooterText"/>
            <w:spacing w:line="240" w:lineRule="auto"/>
          </w:pPr>
          <w:r>
            <w:t>June 2023</w:t>
          </w:r>
        </w:p>
      </w:tc>
      <w:tc>
        <w:tcPr>
          <w:tcW w:w="543" w:type="pct"/>
          <w:vAlign w:val="center"/>
        </w:tcPr>
        <w:p w14:paraId="1BEFB667" w14:textId="77777777" w:rsidR="003F477C" w:rsidRPr="00925F91" w:rsidRDefault="003F477C" w:rsidP="00534956">
          <w:pPr>
            <w:pStyle w:val="FooterText"/>
            <w:spacing w:line="240" w:lineRule="auto"/>
          </w:pPr>
          <w:r w:rsidRPr="00925F91">
            <w:t>Issue Date:</w:t>
          </w:r>
        </w:p>
      </w:tc>
      <w:tc>
        <w:tcPr>
          <w:tcW w:w="601" w:type="pct"/>
          <w:vAlign w:val="center"/>
        </w:tcPr>
        <w:p w14:paraId="5635489C" w14:textId="2A1CB310" w:rsidR="003F477C" w:rsidRPr="00925F91" w:rsidRDefault="00CF1207" w:rsidP="00534956">
          <w:pPr>
            <w:pStyle w:val="FooterText"/>
            <w:spacing w:line="240" w:lineRule="auto"/>
          </w:pPr>
          <w:r>
            <w:t>June 2023</w:t>
          </w:r>
        </w:p>
      </w:tc>
      <w:tc>
        <w:tcPr>
          <w:tcW w:w="470" w:type="pct"/>
          <w:vAlign w:val="center"/>
        </w:tcPr>
        <w:p w14:paraId="552F758B" w14:textId="77777777" w:rsidR="003F477C" w:rsidRPr="00925F91" w:rsidRDefault="003F477C" w:rsidP="00534956">
          <w:pPr>
            <w:pStyle w:val="FooterText"/>
            <w:spacing w:line="240" w:lineRule="auto"/>
          </w:pPr>
          <w:r w:rsidRPr="00925F91">
            <w:t>Page No:</w:t>
          </w:r>
        </w:p>
      </w:tc>
      <w:tc>
        <w:tcPr>
          <w:tcW w:w="456" w:type="pct"/>
          <w:vAlign w:val="center"/>
        </w:tcPr>
        <w:p w14:paraId="18BD2C6A" w14:textId="77777777" w:rsidR="003F477C" w:rsidRPr="00925F91" w:rsidRDefault="003F477C" w:rsidP="00534956">
          <w:pPr>
            <w:pStyle w:val="FooterText"/>
            <w:spacing w:line="240" w:lineRule="auto"/>
          </w:pPr>
          <w:r w:rsidRPr="00925F91">
            <w:fldChar w:fldCharType="begin"/>
          </w:r>
          <w:r w:rsidRPr="00925F91">
            <w:instrText xml:space="preserve"> PAGE </w:instrText>
          </w:r>
          <w:r w:rsidRPr="00925F91">
            <w:fldChar w:fldCharType="separate"/>
          </w:r>
          <w:r w:rsidRPr="00925F91">
            <w:rPr>
              <w:noProof/>
            </w:rPr>
            <w:t>1</w:t>
          </w:r>
          <w:r w:rsidRPr="00925F91">
            <w:fldChar w:fldCharType="end"/>
          </w:r>
          <w:r w:rsidRPr="00925F91">
            <w:t xml:space="preserve"> of </w:t>
          </w:r>
          <w:fldSimple w:instr=" NUMPAGES ">
            <w:r w:rsidRPr="00925F91">
              <w:rPr>
                <w:noProof/>
              </w:rPr>
              <w:t>1</w:t>
            </w:r>
          </w:fldSimple>
        </w:p>
      </w:tc>
    </w:tr>
    <w:tr w:rsidR="003F477C" w:rsidRPr="00925F91" w14:paraId="2A1C2060" w14:textId="77777777" w:rsidTr="003F477C">
      <w:tc>
        <w:tcPr>
          <w:tcW w:w="5000" w:type="pct"/>
          <w:gridSpan w:val="6"/>
          <w:vAlign w:val="center"/>
        </w:tcPr>
        <w:p w14:paraId="20C113AA" w14:textId="77777777" w:rsidR="003F477C" w:rsidRPr="00925F91" w:rsidRDefault="003F477C" w:rsidP="00534956">
          <w:pPr>
            <w:pStyle w:val="FooterText"/>
            <w:spacing w:line="240" w:lineRule="auto"/>
            <w:jc w:val="center"/>
          </w:pPr>
          <w:r w:rsidRPr="00925F91">
            <w:t>This document is UNCONTROLLED once printed – refer to Aeris Document Management System for CONTROLLED version</w:t>
          </w:r>
        </w:p>
      </w:tc>
    </w:tr>
  </w:tbl>
  <w:p w14:paraId="13AF1FD1" w14:textId="28F3E130" w:rsidR="00534956" w:rsidRPr="00C33BFB" w:rsidRDefault="003F477C" w:rsidP="00534956">
    <w:pPr>
      <w:pStyle w:val="Footer"/>
      <w:rPr>
        <w:sz w:val="12"/>
      </w:rPr>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FC49" w14:textId="77777777" w:rsidR="00534956" w:rsidRPr="00953F7C" w:rsidRDefault="00534956">
    <w:pPr>
      <w:rPr>
        <w:sz w:val="14"/>
      </w:rPr>
    </w:pPr>
  </w:p>
  <w:p w14:paraId="34D42884" w14:textId="77777777" w:rsidR="00534956" w:rsidRPr="00953F7C" w:rsidRDefault="00534956">
    <w:pPr>
      <w:pStyle w:val="Footer"/>
      <w:rPr>
        <w:color w:val="808080"/>
        <w:sz w:val="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7772" w14:textId="77777777" w:rsidR="00F41CB6" w:rsidRDefault="00F41CB6" w:rsidP="0088529E">
      <w:r>
        <w:separator/>
      </w:r>
    </w:p>
  </w:footnote>
  <w:footnote w:type="continuationSeparator" w:id="0">
    <w:p w14:paraId="4EFECC0E" w14:textId="77777777" w:rsidR="00F41CB6" w:rsidRDefault="00F41CB6" w:rsidP="0088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7AA9" w14:textId="65008EE5" w:rsidR="0088529E" w:rsidRDefault="0088529E" w:rsidP="0088529E">
    <w:pPr>
      <w:pStyle w:val="Header"/>
      <w:jc w:val="right"/>
    </w:pPr>
    <w:r>
      <w:rPr>
        <w:noProof/>
      </w:rPr>
      <w:drawing>
        <wp:inline distT="0" distB="0" distL="0" distR="0" wp14:anchorId="327C9697" wp14:editId="40FA9CF1">
          <wp:extent cx="1931931" cy="99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57" cy="9997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B2C5" w14:textId="77777777" w:rsidR="00534956" w:rsidRPr="00F57943" w:rsidRDefault="00534956">
    <w:pPr>
      <w:pStyle w:val="Header"/>
      <w:tabs>
        <w:tab w:val="clear" w:pos="8306"/>
        <w:tab w:val="right" w:pos="9600"/>
      </w:tabs>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FD6"/>
    <w:multiLevelType w:val="hybridMultilevel"/>
    <w:tmpl w:val="FE301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D3B5A"/>
    <w:multiLevelType w:val="multilevel"/>
    <w:tmpl w:val="34B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60F6C"/>
    <w:multiLevelType w:val="hybridMultilevel"/>
    <w:tmpl w:val="ADB8FB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C346BE5"/>
    <w:multiLevelType w:val="multilevel"/>
    <w:tmpl w:val="F7E484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CA67C2B"/>
    <w:multiLevelType w:val="multilevel"/>
    <w:tmpl w:val="A2A293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534B5D"/>
    <w:multiLevelType w:val="multilevel"/>
    <w:tmpl w:val="E5FA3CFA"/>
    <w:lvl w:ilvl="0">
      <w:start w:val="1"/>
      <w:numFmt w:val="decimal"/>
      <w:lvlText w:val="%1."/>
      <w:lvlJc w:val="left"/>
      <w:pPr>
        <w:ind w:left="36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CE11DD3"/>
    <w:multiLevelType w:val="hybridMultilevel"/>
    <w:tmpl w:val="B8C63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1363A"/>
    <w:multiLevelType w:val="hybridMultilevel"/>
    <w:tmpl w:val="245053BE"/>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C26E05"/>
    <w:multiLevelType w:val="hybridMultilevel"/>
    <w:tmpl w:val="F7AE88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5F2C9F"/>
    <w:multiLevelType w:val="multilevel"/>
    <w:tmpl w:val="0B9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C262B"/>
    <w:multiLevelType w:val="hybridMultilevel"/>
    <w:tmpl w:val="6688E142"/>
    <w:lvl w:ilvl="0" w:tplc="1C5C499A">
      <w:start w:val="1"/>
      <w:numFmt w:val="decimal"/>
      <w:lvlText w:val="%1."/>
      <w:lvlJc w:val="left"/>
      <w:pPr>
        <w:ind w:left="360" w:hanging="360"/>
      </w:pPr>
      <w:rPr>
        <w:rFonts w:hint="default"/>
        <w:b/>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5C582C"/>
    <w:multiLevelType w:val="hybridMultilevel"/>
    <w:tmpl w:val="D1B2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71197"/>
    <w:multiLevelType w:val="hybridMultilevel"/>
    <w:tmpl w:val="32D6C48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740874"/>
    <w:multiLevelType w:val="hybridMultilevel"/>
    <w:tmpl w:val="4AFAEF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F4A678D"/>
    <w:multiLevelType w:val="hybridMultilevel"/>
    <w:tmpl w:val="245053BE"/>
    <w:lvl w:ilvl="0" w:tplc="0A04A6B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BB6A2C"/>
    <w:multiLevelType w:val="multilevel"/>
    <w:tmpl w:val="EE7A60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333756D"/>
    <w:multiLevelType w:val="hybridMultilevel"/>
    <w:tmpl w:val="6582C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3A143F"/>
    <w:multiLevelType w:val="hybridMultilevel"/>
    <w:tmpl w:val="E4A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F2727C"/>
    <w:multiLevelType w:val="hybridMultilevel"/>
    <w:tmpl w:val="A232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AB01BC"/>
    <w:multiLevelType w:val="multilevel"/>
    <w:tmpl w:val="618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16064A"/>
    <w:multiLevelType w:val="multilevel"/>
    <w:tmpl w:val="021892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70F5597"/>
    <w:multiLevelType w:val="multilevel"/>
    <w:tmpl w:val="6D8021C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47915BD0"/>
    <w:multiLevelType w:val="hybridMultilevel"/>
    <w:tmpl w:val="735E70CE"/>
    <w:lvl w:ilvl="0" w:tplc="16B6928C">
      <w:numFmt w:val="bullet"/>
      <w:lvlText w:val="•"/>
      <w:lvlJc w:val="left"/>
      <w:pPr>
        <w:ind w:left="720" w:hanging="360"/>
      </w:pPr>
      <w:rPr>
        <w:rFonts w:ascii="Century Gothic" w:eastAsia="Arial" w:hAnsi="Century Gothic"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C605F"/>
    <w:multiLevelType w:val="multilevel"/>
    <w:tmpl w:val="F53C92B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61AA11AA"/>
    <w:multiLevelType w:val="hybridMultilevel"/>
    <w:tmpl w:val="99B40932"/>
    <w:lvl w:ilvl="0" w:tplc="16B6928C">
      <w:numFmt w:val="bullet"/>
      <w:lvlText w:val="•"/>
      <w:lvlJc w:val="left"/>
      <w:pPr>
        <w:ind w:left="720" w:hanging="360"/>
      </w:pPr>
      <w:rPr>
        <w:rFonts w:ascii="Century Gothic" w:eastAsia="Arial"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C7917"/>
    <w:multiLevelType w:val="multilevel"/>
    <w:tmpl w:val="62B0629A"/>
    <w:lvl w:ilvl="0">
      <w:start w:val="1"/>
      <w:numFmt w:val="decimal"/>
      <w:lvlText w:val="%1."/>
      <w:lvlJc w:val="left"/>
      <w:pPr>
        <w:ind w:left="1530" w:hanging="45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7CA059F"/>
    <w:multiLevelType w:val="multilevel"/>
    <w:tmpl w:val="C398105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683F081C"/>
    <w:multiLevelType w:val="hybridMultilevel"/>
    <w:tmpl w:val="245053BE"/>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A087F41"/>
    <w:multiLevelType w:val="hybridMultilevel"/>
    <w:tmpl w:val="9728577A"/>
    <w:lvl w:ilvl="0" w:tplc="A5C897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2B5CCC"/>
    <w:multiLevelType w:val="hybridMultilevel"/>
    <w:tmpl w:val="ADDC64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4472875"/>
    <w:multiLevelType w:val="multilevel"/>
    <w:tmpl w:val="813A207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1" w15:restartNumberingAfterBreak="0">
    <w:nsid w:val="7616017B"/>
    <w:multiLevelType w:val="multilevel"/>
    <w:tmpl w:val="0D6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211522"/>
    <w:multiLevelType w:val="hybridMultilevel"/>
    <w:tmpl w:val="245053BE"/>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34" w15:restartNumberingAfterBreak="0">
    <w:nsid w:val="7942295C"/>
    <w:multiLevelType w:val="hybridMultilevel"/>
    <w:tmpl w:val="EFF40D56"/>
    <w:lvl w:ilvl="0" w:tplc="16B6928C">
      <w:numFmt w:val="bullet"/>
      <w:lvlText w:val="•"/>
      <w:lvlJc w:val="left"/>
      <w:pPr>
        <w:ind w:left="720" w:hanging="360"/>
      </w:pPr>
      <w:rPr>
        <w:rFonts w:ascii="Century Gothic" w:eastAsia="Arial"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62EF7"/>
    <w:multiLevelType w:val="multilevel"/>
    <w:tmpl w:val="D1E856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66481758">
    <w:abstractNumId w:val="29"/>
  </w:num>
  <w:num w:numId="2" w16cid:durableId="1793206978">
    <w:abstractNumId w:val="28"/>
  </w:num>
  <w:num w:numId="3" w16cid:durableId="148715031">
    <w:abstractNumId w:val="0"/>
  </w:num>
  <w:num w:numId="4" w16cid:durableId="1162815205">
    <w:abstractNumId w:val="16"/>
  </w:num>
  <w:num w:numId="5" w16cid:durableId="707023369">
    <w:abstractNumId w:val="19"/>
  </w:num>
  <w:num w:numId="6" w16cid:durableId="1855150395">
    <w:abstractNumId w:val="1"/>
  </w:num>
  <w:num w:numId="7" w16cid:durableId="83578718">
    <w:abstractNumId w:val="9"/>
  </w:num>
  <w:num w:numId="8" w16cid:durableId="458885490">
    <w:abstractNumId w:val="31"/>
  </w:num>
  <w:num w:numId="9" w16cid:durableId="207962089">
    <w:abstractNumId w:val="8"/>
  </w:num>
  <w:num w:numId="10" w16cid:durableId="83109148">
    <w:abstractNumId w:val="18"/>
  </w:num>
  <w:num w:numId="11" w16cid:durableId="1458328913">
    <w:abstractNumId w:val="10"/>
  </w:num>
  <w:num w:numId="12" w16cid:durableId="1587153521">
    <w:abstractNumId w:val="14"/>
  </w:num>
  <w:num w:numId="13" w16cid:durableId="1221865092">
    <w:abstractNumId w:val="33"/>
  </w:num>
  <w:num w:numId="14" w16cid:durableId="1248612218">
    <w:abstractNumId w:val="27"/>
  </w:num>
  <w:num w:numId="15" w16cid:durableId="1397053358">
    <w:abstractNumId w:val="17"/>
  </w:num>
  <w:num w:numId="16" w16cid:durableId="2133939447">
    <w:abstractNumId w:val="6"/>
  </w:num>
  <w:num w:numId="17" w16cid:durableId="1424570311">
    <w:abstractNumId w:val="7"/>
  </w:num>
  <w:num w:numId="18" w16cid:durableId="305597137">
    <w:abstractNumId w:val="32"/>
  </w:num>
  <w:num w:numId="19" w16cid:durableId="816990541">
    <w:abstractNumId w:val="2"/>
  </w:num>
  <w:num w:numId="20" w16cid:durableId="1311447602">
    <w:abstractNumId w:val="5"/>
    <w:lvlOverride w:ilvl="0">
      <w:startOverride w:val="1"/>
    </w:lvlOverride>
    <w:lvlOverride w:ilvl="1"/>
    <w:lvlOverride w:ilvl="2"/>
    <w:lvlOverride w:ilvl="3"/>
    <w:lvlOverride w:ilvl="4"/>
    <w:lvlOverride w:ilvl="5"/>
    <w:lvlOverride w:ilvl="6"/>
    <w:lvlOverride w:ilvl="7"/>
    <w:lvlOverride w:ilvl="8"/>
  </w:num>
  <w:num w:numId="21" w16cid:durableId="84109012">
    <w:abstractNumId w:val="25"/>
    <w:lvlOverride w:ilvl="0">
      <w:startOverride w:val="1"/>
    </w:lvlOverride>
    <w:lvlOverride w:ilvl="1"/>
    <w:lvlOverride w:ilvl="2"/>
    <w:lvlOverride w:ilvl="3"/>
    <w:lvlOverride w:ilvl="4"/>
    <w:lvlOverride w:ilvl="5"/>
    <w:lvlOverride w:ilvl="6"/>
    <w:lvlOverride w:ilvl="7"/>
    <w:lvlOverride w:ilvl="8"/>
  </w:num>
  <w:num w:numId="22" w16cid:durableId="629046356">
    <w:abstractNumId w:val="26"/>
  </w:num>
  <w:num w:numId="23" w16cid:durableId="1700008121">
    <w:abstractNumId w:val="30"/>
  </w:num>
  <w:num w:numId="24" w16cid:durableId="772676720">
    <w:abstractNumId w:val="35"/>
  </w:num>
  <w:num w:numId="25" w16cid:durableId="700670253">
    <w:abstractNumId w:val="3"/>
  </w:num>
  <w:num w:numId="26" w16cid:durableId="1080172325">
    <w:abstractNumId w:val="15"/>
  </w:num>
  <w:num w:numId="27" w16cid:durableId="1974630493">
    <w:abstractNumId w:val="21"/>
  </w:num>
  <w:num w:numId="28" w16cid:durableId="1765106044">
    <w:abstractNumId w:val="23"/>
  </w:num>
  <w:num w:numId="29" w16cid:durableId="738136461">
    <w:abstractNumId w:val="4"/>
  </w:num>
  <w:num w:numId="30" w16cid:durableId="1948079118">
    <w:abstractNumId w:val="20"/>
  </w:num>
  <w:num w:numId="31" w16cid:durableId="1669168538">
    <w:abstractNumId w:val="12"/>
  </w:num>
  <w:num w:numId="32" w16cid:durableId="864903235">
    <w:abstractNumId w:val="11"/>
  </w:num>
  <w:num w:numId="33" w16cid:durableId="1455949517">
    <w:abstractNumId w:val="22"/>
  </w:num>
  <w:num w:numId="34" w16cid:durableId="1167207616">
    <w:abstractNumId w:val="34"/>
  </w:num>
  <w:num w:numId="35" w16cid:durableId="302472133">
    <w:abstractNumId w:val="24"/>
  </w:num>
  <w:num w:numId="36" w16cid:durableId="180551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tTA3MTA0NTE0sjRX0lEKTi0uzszPAykwrAUAVzrK7iwAAAA="/>
  </w:docVars>
  <w:rsids>
    <w:rsidRoot w:val="0088529E"/>
    <w:rsid w:val="00040DD0"/>
    <w:rsid w:val="000550BE"/>
    <w:rsid w:val="00072906"/>
    <w:rsid w:val="000C1186"/>
    <w:rsid w:val="00125719"/>
    <w:rsid w:val="00145B67"/>
    <w:rsid w:val="00182E21"/>
    <w:rsid w:val="001F0E71"/>
    <w:rsid w:val="002372CC"/>
    <w:rsid w:val="002521D0"/>
    <w:rsid w:val="00266C18"/>
    <w:rsid w:val="003106DF"/>
    <w:rsid w:val="00337B49"/>
    <w:rsid w:val="00371530"/>
    <w:rsid w:val="00375C56"/>
    <w:rsid w:val="00377438"/>
    <w:rsid w:val="00390A4D"/>
    <w:rsid w:val="003E0425"/>
    <w:rsid w:val="003F477C"/>
    <w:rsid w:val="00425183"/>
    <w:rsid w:val="0042557E"/>
    <w:rsid w:val="0042614A"/>
    <w:rsid w:val="004335CD"/>
    <w:rsid w:val="004378CE"/>
    <w:rsid w:val="004A3900"/>
    <w:rsid w:val="004D7220"/>
    <w:rsid w:val="004E4296"/>
    <w:rsid w:val="00534956"/>
    <w:rsid w:val="00542CE0"/>
    <w:rsid w:val="00546A1F"/>
    <w:rsid w:val="00555CA0"/>
    <w:rsid w:val="005D14C9"/>
    <w:rsid w:val="00621164"/>
    <w:rsid w:val="00631860"/>
    <w:rsid w:val="00680F67"/>
    <w:rsid w:val="006A4EC4"/>
    <w:rsid w:val="006B0940"/>
    <w:rsid w:val="006B38E1"/>
    <w:rsid w:val="006B6B66"/>
    <w:rsid w:val="006C0919"/>
    <w:rsid w:val="006C1C28"/>
    <w:rsid w:val="006C3646"/>
    <w:rsid w:val="006D077F"/>
    <w:rsid w:val="006F1434"/>
    <w:rsid w:val="0070693F"/>
    <w:rsid w:val="0071422E"/>
    <w:rsid w:val="00792A82"/>
    <w:rsid w:val="007956DD"/>
    <w:rsid w:val="007C1378"/>
    <w:rsid w:val="00811DF0"/>
    <w:rsid w:val="00826433"/>
    <w:rsid w:val="00847F02"/>
    <w:rsid w:val="00851B2B"/>
    <w:rsid w:val="00853918"/>
    <w:rsid w:val="00882B8C"/>
    <w:rsid w:val="0088529E"/>
    <w:rsid w:val="00895267"/>
    <w:rsid w:val="008B6617"/>
    <w:rsid w:val="008D7EFC"/>
    <w:rsid w:val="00946504"/>
    <w:rsid w:val="00967703"/>
    <w:rsid w:val="009A345B"/>
    <w:rsid w:val="009A5C98"/>
    <w:rsid w:val="009E06B4"/>
    <w:rsid w:val="009F2740"/>
    <w:rsid w:val="00A365BB"/>
    <w:rsid w:val="00A81A4B"/>
    <w:rsid w:val="00AD7C03"/>
    <w:rsid w:val="00B0094B"/>
    <w:rsid w:val="00B34315"/>
    <w:rsid w:val="00B40260"/>
    <w:rsid w:val="00B76114"/>
    <w:rsid w:val="00B8766B"/>
    <w:rsid w:val="00B9507F"/>
    <w:rsid w:val="00BA5B28"/>
    <w:rsid w:val="00C12FD6"/>
    <w:rsid w:val="00C741B5"/>
    <w:rsid w:val="00C90ADF"/>
    <w:rsid w:val="00C979A0"/>
    <w:rsid w:val="00CF1207"/>
    <w:rsid w:val="00D63532"/>
    <w:rsid w:val="00DF547D"/>
    <w:rsid w:val="00DF55B8"/>
    <w:rsid w:val="00E626A8"/>
    <w:rsid w:val="00E96B30"/>
    <w:rsid w:val="00ED2D52"/>
    <w:rsid w:val="00EE7861"/>
    <w:rsid w:val="00F34FB5"/>
    <w:rsid w:val="00F41CB6"/>
    <w:rsid w:val="00F5113E"/>
    <w:rsid w:val="00F70BB4"/>
    <w:rsid w:val="00F767C8"/>
    <w:rsid w:val="00FA5D9D"/>
    <w:rsid w:val="00FE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630EE"/>
  <w15:docId w15:val="{11065FE1-C5EF-45DC-9FB7-7662CC83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9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767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767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67C8"/>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767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67C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67C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29E"/>
    <w:pPr>
      <w:tabs>
        <w:tab w:val="center" w:pos="4153"/>
        <w:tab w:val="right" w:pos="8306"/>
      </w:tabs>
    </w:pPr>
  </w:style>
  <w:style w:type="character" w:customStyle="1" w:styleId="FooterChar">
    <w:name w:val="Footer Char"/>
    <w:basedOn w:val="DefaultParagraphFont"/>
    <w:link w:val="Footer"/>
    <w:uiPriority w:val="99"/>
    <w:rsid w:val="0088529E"/>
    <w:rPr>
      <w:rFonts w:ascii="Arial" w:eastAsia="Times New Roman" w:hAnsi="Arial" w:cs="Times New Roman"/>
      <w:sz w:val="20"/>
      <w:szCs w:val="24"/>
    </w:rPr>
  </w:style>
  <w:style w:type="character" w:styleId="PageNumber">
    <w:name w:val="page number"/>
    <w:basedOn w:val="DefaultParagraphFont"/>
    <w:rsid w:val="0088529E"/>
  </w:style>
  <w:style w:type="paragraph" w:styleId="Header">
    <w:name w:val="header"/>
    <w:basedOn w:val="Normal"/>
    <w:link w:val="HeaderChar"/>
    <w:uiPriority w:val="99"/>
    <w:rsid w:val="0088529E"/>
    <w:pPr>
      <w:tabs>
        <w:tab w:val="center" w:pos="4153"/>
        <w:tab w:val="right" w:pos="8306"/>
      </w:tabs>
    </w:pPr>
  </w:style>
  <w:style w:type="character" w:customStyle="1" w:styleId="HeaderChar">
    <w:name w:val="Header Char"/>
    <w:basedOn w:val="DefaultParagraphFont"/>
    <w:link w:val="Header"/>
    <w:uiPriority w:val="99"/>
    <w:rsid w:val="0088529E"/>
    <w:rPr>
      <w:rFonts w:ascii="Arial" w:eastAsia="Times New Roman" w:hAnsi="Arial" w:cs="Times New Roman"/>
      <w:sz w:val="20"/>
      <w:szCs w:val="24"/>
    </w:rPr>
  </w:style>
  <w:style w:type="table" w:styleId="TableGrid">
    <w:name w:val="Table Grid"/>
    <w:basedOn w:val="TableNormal"/>
    <w:uiPriority w:val="39"/>
    <w:rsid w:val="0088529E"/>
    <w:pPr>
      <w:spacing w:after="0" w:line="240" w:lineRule="auto"/>
      <w:jc w:val="righ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29E"/>
    <w:pPr>
      <w:ind w:left="720"/>
      <w:contextualSpacing/>
    </w:pPr>
  </w:style>
  <w:style w:type="paragraph" w:customStyle="1" w:styleId="FooterText">
    <w:name w:val="Footer Text"/>
    <w:uiPriority w:val="5"/>
    <w:qFormat/>
    <w:rsid w:val="003F477C"/>
    <w:pPr>
      <w:tabs>
        <w:tab w:val="center" w:pos="4153"/>
        <w:tab w:val="right" w:pos="8306"/>
      </w:tabs>
      <w:spacing w:after="0"/>
    </w:pPr>
    <w:rPr>
      <w:rFonts w:ascii="Arial" w:eastAsia="Times New Roman" w:hAnsi="Arial" w:cs="Times New Roman"/>
      <w:sz w:val="16"/>
      <w:szCs w:val="16"/>
    </w:rPr>
  </w:style>
  <w:style w:type="paragraph" w:customStyle="1" w:styleId="HeaderTitleText">
    <w:name w:val="Header Title Text"/>
    <w:uiPriority w:val="9"/>
    <w:qFormat/>
    <w:rsid w:val="003F477C"/>
    <w:rPr>
      <w:rFonts w:ascii="Century Gothic" w:hAnsi="Century Gothic"/>
      <w:sz w:val="36"/>
    </w:rPr>
  </w:style>
  <w:style w:type="paragraph" w:styleId="Revision">
    <w:name w:val="Revision"/>
    <w:hidden/>
    <w:uiPriority w:val="99"/>
    <w:semiHidden/>
    <w:rsid w:val="000C1186"/>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377438"/>
    <w:rPr>
      <w:sz w:val="16"/>
      <w:szCs w:val="16"/>
    </w:rPr>
  </w:style>
  <w:style w:type="paragraph" w:styleId="CommentText">
    <w:name w:val="annotation text"/>
    <w:basedOn w:val="Normal"/>
    <w:link w:val="CommentTextChar"/>
    <w:uiPriority w:val="99"/>
    <w:unhideWhenUsed/>
    <w:rsid w:val="00377438"/>
    <w:pPr>
      <w:spacing w:after="160"/>
    </w:pPr>
    <w:rPr>
      <w:rFonts w:asciiTheme="minorHAnsi" w:eastAsiaTheme="minorHAnsi" w:hAnsiTheme="minorHAnsi" w:cstheme="minorBidi"/>
      <w:kern w:val="2"/>
      <w:szCs w:val="20"/>
      <w14:ligatures w14:val="standardContextual"/>
    </w:rPr>
  </w:style>
  <w:style w:type="character" w:customStyle="1" w:styleId="CommentTextChar">
    <w:name w:val="Comment Text Char"/>
    <w:basedOn w:val="DefaultParagraphFont"/>
    <w:link w:val="CommentText"/>
    <w:uiPriority w:val="99"/>
    <w:rsid w:val="00377438"/>
    <w:rPr>
      <w:kern w:val="2"/>
      <w:sz w:val="20"/>
      <w:szCs w:val="20"/>
      <w14:ligatures w14:val="standardContextual"/>
    </w:rPr>
  </w:style>
  <w:style w:type="paragraph" w:styleId="BodyText">
    <w:name w:val="Body Text"/>
    <w:basedOn w:val="Normal"/>
    <w:link w:val="BodyTextChar"/>
    <w:qFormat/>
    <w:rsid w:val="00E626A8"/>
    <w:pPr>
      <w:spacing w:after="120"/>
      <w:ind w:left="851"/>
    </w:pPr>
    <w:rPr>
      <w:rFonts w:eastAsia="Arial" w:cs="Arial"/>
      <w:szCs w:val="20"/>
      <w:lang w:eastAsia="en-AU"/>
    </w:rPr>
  </w:style>
  <w:style w:type="character" w:customStyle="1" w:styleId="BodyTextChar">
    <w:name w:val="Body Text Char"/>
    <w:basedOn w:val="DefaultParagraphFont"/>
    <w:link w:val="BodyText"/>
    <w:rsid w:val="00E626A8"/>
    <w:rPr>
      <w:rFonts w:ascii="Arial" w:eastAsia="Arial" w:hAnsi="Arial" w:cs="Arial"/>
      <w:sz w:val="20"/>
      <w:szCs w:val="20"/>
      <w:lang w:eastAsia="en-AU"/>
    </w:rPr>
  </w:style>
  <w:style w:type="paragraph" w:customStyle="1" w:styleId="paragraph">
    <w:name w:val="paragraph"/>
    <w:basedOn w:val="Normal"/>
    <w:rsid w:val="00E626A8"/>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E626A8"/>
  </w:style>
  <w:style w:type="paragraph" w:styleId="ListBullet">
    <w:name w:val="List Bullet"/>
    <w:basedOn w:val="Normal"/>
    <w:uiPriority w:val="9"/>
    <w:qFormat/>
    <w:rsid w:val="00E626A8"/>
    <w:pPr>
      <w:numPr>
        <w:numId w:val="13"/>
      </w:numPr>
      <w:spacing w:after="120"/>
    </w:pPr>
    <w:rPr>
      <w:rFonts w:eastAsia="Arial" w:cs="Arial"/>
      <w:szCs w:val="20"/>
      <w:lang w:eastAsia="en-AU"/>
    </w:rPr>
  </w:style>
  <w:style w:type="character" w:customStyle="1" w:styleId="Heading1Char">
    <w:name w:val="Heading 1 Char"/>
    <w:basedOn w:val="DefaultParagraphFont"/>
    <w:link w:val="Heading1"/>
    <w:uiPriority w:val="9"/>
    <w:rsid w:val="00F76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767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767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767C8"/>
    <w:rPr>
      <w:rFonts w:asciiTheme="majorHAnsi" w:eastAsiaTheme="majorEastAsia" w:hAnsiTheme="majorHAnsi" w:cstheme="majorBidi"/>
      <w:i/>
      <w:iCs/>
      <w:color w:val="2F5496" w:themeColor="accent1" w:themeShade="BF"/>
      <w:sz w:val="20"/>
      <w:szCs w:val="24"/>
    </w:rPr>
  </w:style>
  <w:style w:type="character" w:customStyle="1" w:styleId="Heading5Char">
    <w:name w:val="Heading 5 Char"/>
    <w:basedOn w:val="DefaultParagraphFont"/>
    <w:link w:val="Heading5"/>
    <w:uiPriority w:val="9"/>
    <w:semiHidden/>
    <w:rsid w:val="00F767C8"/>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F767C8"/>
    <w:rPr>
      <w:rFonts w:asciiTheme="majorHAnsi" w:eastAsiaTheme="majorEastAsia" w:hAnsiTheme="majorHAnsi" w:cstheme="majorBidi"/>
      <w:color w:val="1F3763" w:themeColor="accent1" w:themeShade="7F"/>
      <w:sz w:val="20"/>
      <w:szCs w:val="24"/>
    </w:rPr>
  </w:style>
  <w:style w:type="paragraph" w:styleId="TOCHeading">
    <w:name w:val="TOC Heading"/>
    <w:basedOn w:val="Heading1"/>
    <w:next w:val="Normal"/>
    <w:uiPriority w:val="39"/>
    <w:unhideWhenUsed/>
    <w:qFormat/>
    <w:rsid w:val="00F767C8"/>
    <w:pPr>
      <w:spacing w:line="259" w:lineRule="auto"/>
      <w:outlineLvl w:val="9"/>
    </w:pPr>
    <w:rPr>
      <w:lang w:val="en-US"/>
    </w:rPr>
  </w:style>
  <w:style w:type="paragraph" w:styleId="TOC2">
    <w:name w:val="toc 2"/>
    <w:basedOn w:val="Normal"/>
    <w:next w:val="Normal"/>
    <w:autoRedefine/>
    <w:uiPriority w:val="39"/>
    <w:unhideWhenUsed/>
    <w:rsid w:val="00F767C8"/>
    <w:pPr>
      <w:spacing w:after="100"/>
      <w:ind w:left="200"/>
    </w:pPr>
  </w:style>
  <w:style w:type="character" w:styleId="Hyperlink">
    <w:name w:val="Hyperlink"/>
    <w:basedOn w:val="DefaultParagraphFont"/>
    <w:uiPriority w:val="99"/>
    <w:unhideWhenUsed/>
    <w:rsid w:val="00F767C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81A4B"/>
    <w:pPr>
      <w:spacing w:after="0"/>
    </w:pPr>
    <w:rPr>
      <w:rFonts w:ascii="Arial" w:eastAsia="Times New Roman" w:hAnsi="Arial" w:cs="Times New Roman"/>
      <w:b/>
      <w:bCs/>
      <w:kern w:val="0"/>
      <w14:ligatures w14:val="none"/>
    </w:rPr>
  </w:style>
  <w:style w:type="character" w:customStyle="1" w:styleId="CommentSubjectChar">
    <w:name w:val="Comment Subject Char"/>
    <w:basedOn w:val="CommentTextChar"/>
    <w:link w:val="CommentSubject"/>
    <w:uiPriority w:val="99"/>
    <w:semiHidden/>
    <w:rsid w:val="00A81A4B"/>
    <w:rPr>
      <w:rFonts w:ascii="Arial" w:eastAsia="Times New Roman" w:hAnsi="Arial" w:cs="Times New Roman"/>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3144">
      <w:bodyDiv w:val="1"/>
      <w:marLeft w:val="0"/>
      <w:marRight w:val="0"/>
      <w:marTop w:val="0"/>
      <w:marBottom w:val="0"/>
      <w:divBdr>
        <w:top w:val="none" w:sz="0" w:space="0" w:color="auto"/>
        <w:left w:val="none" w:sz="0" w:space="0" w:color="auto"/>
        <w:bottom w:val="none" w:sz="0" w:space="0" w:color="auto"/>
        <w:right w:val="none" w:sz="0" w:space="0" w:color="auto"/>
      </w:divBdr>
    </w:div>
    <w:div w:id="197082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C37063B7CB4EAAA3EB4991E9CD6C" ma:contentTypeVersion="8" ma:contentTypeDescription="Create a new document." ma:contentTypeScope="" ma:versionID="2593ba755060e6abe76aa1db2fdeb5ce">
  <xsd:schema xmlns:xsd="http://www.w3.org/2001/XMLSchema" xmlns:xs="http://www.w3.org/2001/XMLSchema" xmlns:p="http://schemas.microsoft.com/office/2006/metadata/properties" xmlns:ns3="68c9acec-4318-40f5-8f9f-a8b29cf5b1a7" xmlns:ns4="b020c7f8-2f73-4a5e-a398-5cb08acd5374" targetNamespace="http://schemas.microsoft.com/office/2006/metadata/properties" ma:root="true" ma:fieldsID="09ac100480c4269b698106315f6f6435" ns3:_="" ns4:_="">
    <xsd:import namespace="68c9acec-4318-40f5-8f9f-a8b29cf5b1a7"/>
    <xsd:import namespace="b020c7f8-2f73-4a5e-a398-5cb08acd5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acec-4318-40f5-8f9f-a8b29cf5b1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0c7f8-2f73-4a5e-a398-5cb08acd5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3A0A0-2C2E-4ECD-8AE0-AD02A6DB6A53}">
  <ds:schemaRefs>
    <ds:schemaRef ds:uri="http://schemas.microsoft.com/sharepoint/v3/contenttype/forms"/>
  </ds:schemaRefs>
</ds:datastoreItem>
</file>

<file path=customXml/itemProps2.xml><?xml version="1.0" encoding="utf-8"?>
<ds:datastoreItem xmlns:ds="http://schemas.openxmlformats.org/officeDocument/2006/customXml" ds:itemID="{9C63243F-788A-4F41-8F97-01FAAD78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acec-4318-40f5-8f9f-a8b29cf5b1a7"/>
    <ds:schemaRef ds:uri="b020c7f8-2f73-4a5e-a398-5cb08acd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AA726-E6C9-4D10-B0E5-518FCF24B9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2380</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Wynn</dc:creator>
  <cp:keywords/>
  <dc:description/>
  <cp:lastModifiedBy>Narelle Wynn</cp:lastModifiedBy>
  <cp:revision>2</cp:revision>
  <cp:lastPrinted>2023-05-09T06:53:00Z</cp:lastPrinted>
  <dcterms:created xsi:type="dcterms:W3CDTF">2023-09-26T00:14:00Z</dcterms:created>
  <dcterms:modified xsi:type="dcterms:W3CDTF">2023-09-26T00:14:00Z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0x0101009B4DC37063B7CB4EAAA3EB4991E9CD6C</vt:lpwstr>
  </property>
</Properties>
</file>